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02.png" ContentType="image/png"/>
  <Override PartName="/word/media/rId106.png" ContentType="image/png"/>
  <Override PartName="/word/media/rId97.png" ContentType="image/png"/>
  <Override PartName="/word/media/rId135.png" ContentType="image/png"/>
  <Override PartName="/word/media/rId139.png" ContentType="image/png"/>
  <Override PartName="/word/media/rId160.png" ContentType="image/png"/>
  <Override PartName="/word/media/rId164.png" ContentType="image/png"/>
  <Override PartName="/word/media/rId145.png" ContentType="image/png"/>
  <Override PartName="/word/media/rId149.png" ContentType="image/png"/>
  <Override PartName="/word/media/rId153.png" ContentType="image/png"/>
  <Override PartName="/word/media/rId169.png" ContentType="image/png"/>
  <Override PartName="/word/media/rId173.png" ContentType="image/png"/>
  <Override PartName="/word/media/rId178.png" ContentType="image/png"/>
  <Override PartName="/word/media/rId182.png" ContentType="image/png"/>
  <Override PartName="/word/media/rId119.png" ContentType="image/png"/>
  <Override PartName="/word/media/rId131.png" ContentType="image/png"/>
  <Override PartName="/word/media/rId123.png" ContentType="image/png"/>
  <Override PartName="/word/media/rId127.png" ContentType="image/png"/>
  <Override PartName="/word/media/rId111.png" ContentType="image/png"/>
  <Override PartName="/word/media/rId47.png" ContentType="image/png"/>
  <Override PartName="/word/media/rId43.png" ContentType="image/png"/>
  <Override PartName="/word/media/rId193.png" ContentType="image/png"/>
  <Override PartName="/word/media/rId188.png" ContentType="image/png"/>
  <Override PartName="/word/media/rId67.png" ContentType="image/png"/>
  <Override PartName="/word/media/rId63.png" ContentType="image/png"/>
  <Override PartName="/word/media/rId27.png" ContentType="image/png"/>
  <Override PartName="/word/media/rId23.png" ContentType="image/png"/>
  <Override PartName="/word/media/rId59.png" ContentType="image/png"/>
  <Override PartName="/word/media/rId86.png" ContentType="image/png"/>
  <Override PartName="/word/media/rId90.png" ContentType="image/png"/>
  <Override PartName="/word/media/rId82.png" ContentType="image/png"/>
  <Override PartName="/word/media/rId78.png" ContentType="image/png"/>
  <Override PartName="/word/media/rId74.png" ContentType="image/png"/>
  <Override PartName="/word/media/rId55.png" ContentType="image/png"/>
  <Override PartName="/word/media/rId39.png" ContentType="image/png"/>
  <Override PartName="/word/media/rId35.png" ContentType="image/png"/>
  <Override PartName="/word/media/rId3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Discussion paper for CIE review of the eastern Bering Sea walleye pollock stock assessment</w:t>
      </w:r>
    </w:p>
    <w:p>
      <w:pPr>
        <w:pStyle w:val="Subtitle"/>
      </w:pPr>
      <w:r>
        <w:t xml:space="preserve">May 2025, CIE review</w:t>
      </w:r>
    </w:p>
    <w:p>
      <w:pPr>
        <w:pStyle w:val="Author"/>
      </w:pPr>
      <w:r>
        <w:t xml:space="preserve">Jim Ianelli, Carey McGilliard, Sophia Wassermann</w:t>
      </w:r>
    </w:p>
    <w:p>
      <w:pPr>
        <w:pStyle w:val="Date"/>
      </w:pPr>
      <w:r>
        <w:t xml:space="preserve">2025-05-01 00:00</w:t>
      </w:r>
    </w:p>
    <w:bookmarkStart w:id="20" w:name="executive-summary"/>
    <w:p>
      <w:pPr>
        <w:pStyle w:val="Heading1"/>
      </w:pPr>
      <w:r>
        <w:t xml:space="preserve">Executive Summary</w:t>
      </w:r>
    </w:p>
    <w:p>
      <w:pPr>
        <w:pStyle w:val="FirstParagraph"/>
      </w:pPr>
      <w:r>
        <w:t xml:space="preserve">This report builds on the 2024 pollock stock assessment, using the same datasets but extending the evaluation through new tools, data comparisons, and sensitivity analyses. The primary goal is to evaluate how alternative data sources, modeling approaches, and assumptions affect the perception of stock status and management advice.</w:t>
      </w:r>
    </w:p>
    <w:p>
      <w:pPr>
        <w:pStyle w:val="BodyText"/>
      </w:pPr>
      <w:r>
        <w:t xml:space="preserve">The first section introduces the</w:t>
      </w:r>
      <w:r>
        <w:t xml:space="preserve"> </w:t>
      </w:r>
      <w:r>
        <w:rPr>
          <w:b/>
          <w:bCs/>
        </w:rPr>
        <w:t xml:space="preserve">R library</w:t>
      </w:r>
      <w:r>
        <w:rPr>
          <w:b/>
          <w:bCs/>
        </w:rPr>
        <w:t xml:space="preserve"> </w:t>
      </w:r>
      <w:r>
        <w:rPr>
          <w:rStyle w:val="VerbatimChar"/>
          <w:b/>
          <w:bCs/>
        </w:rPr>
        <w:t xml:space="preserve">ebswp</w:t>
      </w:r>
      <w:r>
        <w:t xml:space="preserve"> </w:t>
      </w:r>
      <w:r>
        <w:t xml:space="preserve">(</w:t>
      </w:r>
      <w:hyperlink w:anchor="sec-ebswp">
        <w:r>
          <w:rPr>
            <w:rStyle w:val="Hyperlink"/>
          </w:rPr>
          <w:t xml:space="preserve">see 1</w:t>
        </w:r>
      </w:hyperlink>
      <w:r>
        <w:t xml:space="preserve">), which streamlines compilation and visualization of assessment results. This provides a foundation for reproducible workflows across different model scenarios.</w:t>
      </w:r>
    </w:p>
    <w:p>
      <w:pPr>
        <w:pStyle w:val="BodyText"/>
      </w:pPr>
      <w:r>
        <w:t xml:space="preserve">The second section presents</w:t>
      </w:r>
      <w:r>
        <w:t xml:space="preserve"> </w:t>
      </w:r>
      <w:r>
        <w:rPr>
          <w:b/>
          <w:bCs/>
        </w:rPr>
        <w:t xml:space="preserve">comparisons of FT-NIR and traditional microscope age estimates</w:t>
      </w:r>
      <w:r>
        <w:t xml:space="preserve"> </w:t>
      </w:r>
      <w:r>
        <w:t xml:space="preserve">(</w:t>
      </w:r>
      <w:hyperlink w:anchor="sec-ftnir">
        <w:r>
          <w:rPr>
            <w:rStyle w:val="Hyperlink"/>
          </w:rPr>
          <w:t xml:space="preserve">see 2</w:t>
        </w:r>
      </w:hyperlink>
      <w:r>
        <w:t xml:space="preserve">). FT-NIR offers efficiencies but showed lower cohort consistency in bottom-trawl data compared to traditional ageing. Model runs incorporating FT-NIRs demonstrated that treatment of ageing error (fleet-aggregated vs. fleet-specific) influences perception of spawning biomass and reference points, though management quantities remained broadly comparable.</w:t>
      </w:r>
    </w:p>
    <w:p>
      <w:pPr>
        <w:pStyle w:val="BodyText"/>
      </w:pPr>
      <w:r>
        <w:t xml:space="preserve">In the next section we explore</w:t>
      </w:r>
      <w:r>
        <w:t xml:space="preserve"> </w:t>
      </w:r>
      <w:r>
        <w:rPr>
          <w:b/>
          <w:bCs/>
        </w:rPr>
        <w:t xml:space="preserve">leave-one-out survey sensitivity analyses</w:t>
      </w:r>
      <w:r>
        <w:t xml:space="preserve"> </w:t>
      </w:r>
      <w:r>
        <w:t xml:space="preserve">(</w:t>
      </w:r>
      <w:hyperlink w:anchor="sec-loo">
        <w:r>
          <w:rPr>
            <w:rStyle w:val="Hyperlink"/>
          </w:rPr>
          <w:t xml:space="preserve">see 3</w:t>
        </w:r>
      </w:hyperlink>
      <w:r>
        <w:t xml:space="preserve">). Results indicated that the influence of the bottom-trawl survey (BTS) was largest. Spawning biomass and recruitment estimates changed considerably when BTS data were downweighted. Other data sources, such as ATS and AVO indices, contributed less to overall stock trends.</w:t>
      </w:r>
    </w:p>
    <w:p>
      <w:pPr>
        <w:pStyle w:val="BodyText"/>
      </w:pPr>
      <w:r>
        <w:t xml:space="preserve">The next sections examine incorporation of</w:t>
      </w:r>
      <w:r>
        <w:t xml:space="preserve"> </w:t>
      </w:r>
      <w:r>
        <w:rPr>
          <w:b/>
          <w:bCs/>
        </w:rPr>
        <w:t xml:space="preserve">multi-species natural mortality (M-at-age and year) estimates and revised acoustic-trawl survey</w:t>
      </w:r>
      <w:r>
        <w:rPr>
          <w:b/>
          <w:bCs/>
        </w:rPr>
        <w:t xml:space="preserve"> </w:t>
      </w:r>
      <w:r>
        <w:rPr>
          <w:b/>
          <w:bCs/>
        </w:rPr>
        <w:t xml:space="preserve">uncertainty</w:t>
      </w:r>
      <w:r>
        <w:t xml:space="preserve"> </w:t>
      </w:r>
      <w:r>
        <w:t xml:space="preserve">(</w:t>
      </w:r>
      <w:hyperlink w:anchor="sec-multispp">
        <w:r>
          <w:rPr>
            <w:rStyle w:val="Hyperlink"/>
          </w:rPr>
          <w:t xml:space="preserve">see 4</w:t>
        </w:r>
      </w:hyperlink>
      <w:r>
        <w:t xml:space="preserve">). CEATTLE-based M estimates led to higher mortality at many ages, resulting in higher recruitment but</w:t>
      </w:r>
      <w:r>
        <w:t xml:space="preserve"> </w:t>
      </w:r>
      <w:r>
        <w:t xml:space="preserve">lower near-term spawning biomass relative to the 2024 base model. Alternative acoustic estimates (</w:t>
      </w:r>
      <w:r>
        <w:t xml:space="preserve">Urmy, Ressler, and De Robertis (2025)</w:t>
      </w:r>
      <w:r>
        <w:t xml:space="preserve">) had smaller effects on</w:t>
      </w:r>
      <w:r>
        <w:t xml:space="preserve"> </w:t>
      </w:r>
      <w:r>
        <w:t xml:space="preserve">management benchmarks, but highlight areas for further refinement.</w:t>
      </w:r>
    </w:p>
    <w:p>
      <w:pPr>
        <w:pStyle w:val="BodyText"/>
      </w:pPr>
      <w:r>
        <w:t xml:space="preserve">In the fifth section we evaluated some</w:t>
      </w:r>
      <w:r>
        <w:t xml:space="preserve"> </w:t>
      </w:r>
      <w:r>
        <w:rPr>
          <w:b/>
          <w:bCs/>
        </w:rPr>
        <w:t xml:space="preserve">alternative assessment platforms</w:t>
      </w:r>
      <w:r>
        <w:t xml:space="preserve"> </w:t>
      </w:r>
      <w:r>
        <w:t xml:space="preserve">(</w:t>
      </w:r>
      <w:hyperlink w:anchor="sec-altsoft">
        <w:r>
          <w:rPr>
            <w:rStyle w:val="Hyperlink"/>
          </w:rPr>
          <w:t xml:space="preserve">see 5</w:t>
        </w:r>
      </w:hyperlink>
      <w:r>
        <w:t xml:space="preserve">), including SS3, SAM, Rceattle,</w:t>
      </w:r>
      <w:r>
        <w:t xml:space="preserve"> </w:t>
      </w:r>
      <w:r>
        <w:t xml:space="preserve">and a spatial RTMB model. Results demonstrated broad consistency in stock trends but revealed platform-specific differences</w:t>
      </w:r>
      <w:r>
        <w:t xml:space="preserve"> </w:t>
      </w:r>
      <w:r>
        <w:t xml:space="preserve">in selectivity, recruitment, and uncertainty. Early applications of Rceattle and spatial models suggest promising</w:t>
      </w:r>
      <w:r>
        <w:t xml:space="preserve"> </w:t>
      </w:r>
      <w:r>
        <w:t xml:space="preserve">avenues for bridging across platforms and explicitly modeling spatial or sex-specific processes.</w:t>
      </w:r>
    </w:p>
    <w:p>
      <w:pPr>
        <w:pStyle w:val="BodyText"/>
      </w:pPr>
      <w:r>
        <w:t xml:space="preserve">The next section we presented</w:t>
      </w:r>
      <w:r>
        <w:t xml:space="preserve"> </w:t>
      </w:r>
      <w:r>
        <w:rPr>
          <w:b/>
          <w:bCs/>
        </w:rPr>
        <w:t xml:space="preserve">bottom-trawl survey spatial distribution modeling</w:t>
      </w:r>
      <w:r>
        <w:t xml:space="preserve"> </w:t>
      </w:r>
      <w:r>
        <w:t xml:space="preserve">(</w:t>
      </w:r>
      <w:hyperlink w:anchor="sec-btsmodel">
        <w:r>
          <w:rPr>
            <w:rStyle w:val="Hyperlink"/>
          </w:rPr>
          <w:t xml:space="preserve">see 6</w:t>
        </w:r>
      </w:hyperlink>
      <w:r>
        <w:t xml:space="preserve">), using sdmTMB and tinyVAST.</w:t>
      </w:r>
      <w:r>
        <w:t xml:space="preserve"> </w:t>
      </w:r>
      <w:r>
        <w:t xml:space="preserve">Model-based indices and age compositions incorporated environmental covariates such as cold-pool extent and bottom temperature,</w:t>
      </w:r>
      <w:r>
        <w:t xml:space="preserve"> </w:t>
      </w:r>
      <w:r>
        <w:t xml:space="preserve">improving robustness in years with sparse coverage. The resulting indices were consistent with design-based estimates,</w:t>
      </w:r>
      <w:r>
        <w:t xml:space="preserve"> </w:t>
      </w:r>
      <w:r>
        <w:t xml:space="preserve">but offered improved diagnostics and continuity across survey years.</w:t>
      </w:r>
    </w:p>
    <w:p>
      <w:pPr>
        <w:pStyle w:val="BodyText"/>
      </w:pPr>
      <w:r>
        <w:t xml:space="preserve">The seventh section details</w:t>
      </w:r>
      <w:r>
        <w:t xml:space="preserve"> </w:t>
      </w:r>
      <w:r>
        <w:rPr>
          <w:b/>
          <w:bCs/>
        </w:rPr>
        <w:t xml:space="preserve">fishery selectivity parameterization</w:t>
      </w:r>
      <w:r>
        <w:t xml:space="preserve"> </w:t>
      </w:r>
      <w:r>
        <w:t xml:space="preserve">(</w:t>
      </w:r>
      <w:hyperlink w:anchor="sec-selnotes">
        <w:r>
          <w:rPr>
            <w:rStyle w:val="Hyperlink"/>
          </w:rPr>
          <w:t xml:space="preserve">see 7</w:t>
        </w:r>
      </w:hyperlink>
      <w:r>
        <w:t xml:space="preserve">).</w:t>
      </w:r>
      <w:r>
        <w:t xml:space="preserve"> </w:t>
      </w:r>
      <w:r>
        <w:t xml:space="preserve">A formal derivation and implementation of time-varying selectivity highlights how plateau</w:t>
      </w:r>
      <w:r>
        <w:t xml:space="preserve"> </w:t>
      </w:r>
      <w:r>
        <w:t xml:space="preserve">assumptions, normalization constraints, and penalized deviations are used to ensure</w:t>
      </w:r>
      <w:r>
        <w:t xml:space="preserve"> </w:t>
      </w:r>
      <w:r>
        <w:t xml:space="preserve">interpretable and stable selectivity estimates. This clarifies the role of selectivity</w:t>
      </w:r>
      <w:r>
        <w:t xml:space="preserve"> </w:t>
      </w:r>
      <w:r>
        <w:t xml:space="preserve">in driving historical and current exploitation patterns.</w:t>
      </w:r>
    </w:p>
    <w:p>
      <w:pPr>
        <w:pStyle w:val="BodyText"/>
      </w:pPr>
      <w:r>
        <w:t xml:space="preserve">Overall, the analyses underscore three key points:</w:t>
      </w:r>
    </w:p>
    <w:p>
      <w:pPr>
        <w:pStyle w:val="Compact"/>
        <w:numPr>
          <w:ilvl w:val="0"/>
          <w:numId w:val="1001"/>
        </w:numPr>
      </w:pPr>
      <w:r>
        <w:rPr>
          <w:i/>
          <w:iCs/>
        </w:rPr>
        <w:t xml:space="preserve">Emerging methods:</w:t>
      </w:r>
      <w:r>
        <w:t xml:space="preserve"> </w:t>
      </w:r>
      <w:r>
        <w:t xml:space="preserve">FT-NIR ageing, multi-species mortality, and model-based survey products hold promise but require careful validation.</w:t>
      </w:r>
      <w:r>
        <w:br/>
      </w:r>
    </w:p>
    <w:p>
      <w:pPr>
        <w:pStyle w:val="Compact"/>
        <w:numPr>
          <w:ilvl w:val="0"/>
          <w:numId w:val="1001"/>
        </w:numPr>
      </w:pPr>
      <w:r>
        <w:rPr>
          <w:i/>
          <w:iCs/>
        </w:rPr>
        <w:t xml:space="preserve">Data dependence:</w:t>
      </w:r>
      <w:r>
        <w:t xml:space="preserve"> </w:t>
      </w:r>
      <w:r>
        <w:t xml:space="preserve">The BTS survey remains the critical data source, with model outcomes highly sensitive to its inclusion.</w:t>
      </w:r>
      <w:r>
        <w:br/>
      </w:r>
    </w:p>
    <w:p>
      <w:pPr>
        <w:pStyle w:val="Compact"/>
        <w:numPr>
          <w:ilvl w:val="0"/>
          <w:numId w:val="1001"/>
        </w:numPr>
      </w:pPr>
      <w:r>
        <w:rPr>
          <w:i/>
          <w:iCs/>
        </w:rPr>
        <w:t xml:space="preserve">Platform diversification:</w:t>
      </w:r>
      <w:r>
        <w:t xml:space="preserve"> </w:t>
      </w:r>
      <w:r>
        <w:t xml:space="preserve">Alternative modeling frameworks provide useful cross-checks</w:t>
      </w:r>
      <w:r>
        <w:t xml:space="preserve"> </w:t>
      </w:r>
      <w:r>
        <w:t xml:space="preserve">and avenues for future development, enhancing confidence in assessment results.</w:t>
      </w:r>
    </w:p>
    <w:bookmarkEnd w:id="20"/>
    <w:bookmarkStart w:id="22" w:name="sec-ebswp"/>
    <w:p>
      <w:pPr>
        <w:pStyle w:val="Heading1"/>
      </w:pPr>
      <w:r>
        <w:t xml:space="preserve">R Library for assessment compilations (ebswp)</w:t>
      </w:r>
    </w:p>
    <w:p>
      <w:pPr>
        <w:pStyle w:val="FirstParagraph"/>
      </w:pPr>
      <w:r>
        <w:t xml:space="preserve">The</w:t>
      </w:r>
      <w:r>
        <w:t xml:space="preserve"> </w:t>
      </w:r>
      <w:r>
        <w:rPr>
          <w:rStyle w:val="VerbatimChar"/>
        </w:rPr>
        <w:t xml:space="preserve">ebswp</w:t>
      </w:r>
      <w:r>
        <w:t xml:space="preserve"> </w:t>
      </w:r>
      <w:r>
        <w:t xml:space="preserve">library is a collection of functions for compiling and analyzing results from</w:t>
      </w:r>
      <w:r>
        <w:t xml:space="preserve"> </w:t>
      </w:r>
      <w:r>
        <w:t xml:space="preserve">the stock assessment models for the eastern Bering Sea walleye pollock (</w:t>
      </w:r>
      <w:r>
        <w:t xml:space="preserve">Ianelli (2025)</w:t>
      </w:r>
      <w:r>
        <w:t xml:space="preserve">). The</w:t>
      </w:r>
      <w:r>
        <w:t xml:space="preserve"> </w:t>
      </w:r>
      <w:r>
        <w:t xml:space="preserve">library is designed to work with the ADMB code and depends on a consistent format for the</w:t>
      </w:r>
      <w:r>
        <w:t xml:space="preserve"> </w:t>
      </w:r>
      <w:r>
        <w:t xml:space="preserve">report files generated. The link in the reference provides access to some notes on</w:t>
      </w:r>
      <w:r>
        <w:t xml:space="preserve"> </w:t>
      </w:r>
      <w:r>
        <w:t xml:space="preserve">applications as vignettes to the package (e.g., .</w:t>
      </w:r>
      <w:r>
        <w:t xml:space="preserve"> </w:t>
      </w:r>
      <w:hyperlink r:id="rId21">
        <w:r>
          <w:rPr>
            <w:rStyle w:val="Hyperlink"/>
          </w:rPr>
          <w:t xml:space="preserve">here</w:t>
        </w:r>
      </w:hyperlink>
      <w:r>
        <w:t xml:space="preserve">).</w:t>
      </w:r>
    </w:p>
    <w:bookmarkEnd w:id="22"/>
    <w:bookmarkStart w:id="72" w:name="sec-ftnir"/>
    <w:p>
      <w:pPr>
        <w:pStyle w:val="Heading1"/>
      </w:pPr>
      <w:r>
        <w:t xml:space="preserve">Comparing FT-NIR compositions with traditional microscope age estimations</w:t>
      </w:r>
    </w:p>
    <w:p>
      <w:pPr>
        <w:pStyle w:val="FirstParagraph"/>
      </w:pPr>
      <w:r>
        <w:t xml:space="preserve">The fish age and growth lab at the AFSC have endeavored to expand on new technologies</w:t>
      </w:r>
      <w:r>
        <w:t xml:space="preserve"> </w:t>
      </w:r>
      <w:r>
        <w:t xml:space="preserve">(</w:t>
      </w:r>
      <w:r>
        <w:t xml:space="preserve">Helser et al. (2019)</w:t>
      </w:r>
      <w:r>
        <w:t xml:space="preserve">).</w:t>
      </w:r>
    </w:p>
    <w:bookmarkStart w:id="51" w:name="ft-nirs-data-consistency-comparisons"/>
    <w:p>
      <w:pPr>
        <w:pStyle w:val="Heading2"/>
      </w:pPr>
      <w:r>
        <w:t xml:space="preserve">FT-NIRS data consistency comparisons</w:t>
      </w:r>
    </w:p>
    <w:p>
      <w:pPr>
        <w:pStyle w:val="FirstParagraph"/>
      </w:pPr>
      <w:r>
        <w:t xml:space="preserve">Examining the abundance-at-age (for design-based estimates of the bottom-trawl age</w:t>
      </w:r>
      <w:r>
        <w:t xml:space="preserve"> </w:t>
      </w:r>
      <w:r>
        <w:t xml:space="preserve">compositions) we show that in general, the TMA estimates show a high level of consistency</w:t>
      </w:r>
      <w:r>
        <w:t xml:space="preserve"> </w:t>
      </w:r>
      <w:r>
        <w:t xml:space="preserve">by cohort (</w:t>
      </w:r>
      <w:hyperlink w:anchor="fig-consisTMA">
        <w:r>
          <w:rPr>
            <w:rStyle w:val="Hyperlink"/>
          </w:rPr>
          <w:t xml:space="preserve">Figure 1</w:t>
        </w:r>
      </w:hyperlink>
      <w:r>
        <w:t xml:space="preserve">). For these same data, when applied to the FTNIRs age-estimation</w:t>
      </w:r>
      <w:r>
        <w:t xml:space="preserve"> </w:t>
      </w:r>
      <w:r>
        <w:t xml:space="preserve">method, the consistency was lower (</w:t>
      </w:r>
      <w:hyperlink w:anchor="fig-consisFTN">
        <w:r>
          <w:rPr>
            <w:rStyle w:val="Hyperlink"/>
          </w:rPr>
          <w:t xml:space="preserve">Figure 2</w:t>
        </w:r>
      </w:hyperlink>
      <w:r>
        <w:t xml:space="preserve">). The extent that this is a concern is</w:t>
      </w:r>
      <w:r>
        <w:t xml:space="preserve"> </w:t>
      </w:r>
      <w:r>
        <w:t xml:space="preserve">unknown.</w:t>
      </w:r>
    </w:p>
    <w:tbl>
      <w:tblPr>
        <w:tblStyle w:val="Table"/>
        <w:tblW w:type="pct" w:w="5000"/>
        <w:tblLayout w:type="fixed"/>
        <w:tblLook w:firstRow="0" w:lastRow="0" w:firstColumn="0" w:lastColumn="0" w:noHBand="0" w:noVBand="0" w:val="0000"/>
      </w:tblPr>
      <w:tblGrid>
        <w:gridCol w:w="7920"/>
      </w:tblGrid>
      <w:tr>
        <w:tc>
          <w:tcPr/>
          <w:bookmarkStart w:id="26" w:name="fig-consisTMA"/>
          <w:p>
            <w:pPr>
              <w:pStyle w:val="Compact"/>
              <w:jc w:val="center"/>
            </w:pPr>
            <w:r>
              <w:drawing>
                <wp:inline>
                  <wp:extent cx="5334000" cy="4912294"/>
                  <wp:effectExtent b="0" l="0" r="0" t="0"/>
                  <wp:docPr descr="" title="" id="24" name="Picture"/>
                  <a:graphic>
                    <a:graphicData uri="http://schemas.openxmlformats.org/drawingml/2006/picture">
                      <pic:pic>
                        <pic:nvPicPr>
                          <pic:cNvPr descr="figs/consisTMA.png" id="25" name="Picture"/>
                          <pic:cNvPicPr>
                            <a:picLocks noChangeArrowheads="1" noChangeAspect="1"/>
                          </pic:cNvPicPr>
                        </pic:nvPicPr>
                        <pic:blipFill>
                          <a:blip r:embed="rId23"/>
                          <a:stretch>
                            <a:fillRect/>
                          </a:stretch>
                        </pic:blipFill>
                        <pic:spPr bwMode="auto">
                          <a:xfrm>
                            <a:off x="0" y="0"/>
                            <a:ext cx="5334000" cy="491229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Cohort consistency over different ages based on log-abundance from the bottom-trawl survey data for pollock in recent years for traditional microscope age estimates. The cohorts are shown in the labels.</w:t>
            </w:r>
          </w:p>
          <w:bookmarkEnd w:id="26"/>
        </w:tc>
      </w:tr>
    </w:tbl>
    <w:tbl>
      <w:tblPr>
        <w:tblStyle w:val="Table"/>
        <w:tblW w:type="pct" w:w="5000"/>
        <w:tblLayout w:type="fixed"/>
        <w:tblLook w:firstRow="0" w:lastRow="0" w:firstColumn="0" w:lastColumn="0" w:noHBand="0" w:noVBand="0" w:val="0000"/>
      </w:tblPr>
      <w:tblGrid>
        <w:gridCol w:w="7920"/>
      </w:tblGrid>
      <w:tr>
        <w:tc>
          <w:tcPr/>
          <w:bookmarkStart w:id="30" w:name="fig-consisFTN"/>
          <w:p>
            <w:pPr>
              <w:pStyle w:val="Compact"/>
              <w:jc w:val="center"/>
            </w:pPr>
            <w:r>
              <w:drawing>
                <wp:inline>
                  <wp:extent cx="5334000" cy="4912294"/>
                  <wp:effectExtent b="0" l="0" r="0" t="0"/>
                  <wp:docPr descr="" title="" id="28" name="Picture"/>
                  <a:graphic>
                    <a:graphicData uri="http://schemas.openxmlformats.org/drawingml/2006/picture">
                      <pic:pic>
                        <pic:nvPicPr>
                          <pic:cNvPr descr="figs/consisFTN.png" id="29" name="Picture"/>
                          <pic:cNvPicPr>
                            <a:picLocks noChangeArrowheads="1" noChangeAspect="1"/>
                          </pic:cNvPicPr>
                        </pic:nvPicPr>
                        <pic:blipFill>
                          <a:blip r:embed="rId27"/>
                          <a:stretch>
                            <a:fillRect/>
                          </a:stretch>
                        </pic:blipFill>
                        <pic:spPr bwMode="auto">
                          <a:xfrm>
                            <a:off x="0" y="0"/>
                            <a:ext cx="5334000" cy="4912294"/>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Cohort consistency over different ages based on log-abundance from the bottom-trawl survey data for pollock in recent years for FTNIRs age estimates. The cohorts are shown in the labels.</w:t>
            </w:r>
          </w:p>
          <w:bookmarkEnd w:id="30"/>
        </w:tc>
      </w:tr>
    </w:tbl>
    <w:p>
      <w:pPr>
        <w:pStyle w:val="BodyText"/>
      </w:pPr>
      <w:r>
        <w:t xml:space="preserve">When preparing the data for the assessment, we plotted out the proportions-at-age for the</w:t>
      </w:r>
      <w:r>
        <w:t xml:space="preserve"> </w:t>
      </w:r>
      <w:r>
        <w:t xml:space="preserve">TMA data and noted the differences in the estimates using the FTNIRs age estimates</w:t>
      </w:r>
      <w:r>
        <w:t xml:space="preserve"> </w:t>
      </w:r>
      <w:r>
        <w:t xml:space="preserve">(</w:t>
      </w:r>
      <w:hyperlink w:anchor="fig-proportionsFSH">
        <w:r>
          <w:rPr>
            <w:rStyle w:val="Hyperlink"/>
          </w:rPr>
          <w:t xml:space="preserve">Figure 3</w:t>
        </w:r>
      </w:hyperlink>
      <w:r>
        <w:t xml:space="preserve">,</w:t>
      </w:r>
      <w:r>
        <w:t xml:space="preserve"> </w:t>
      </w:r>
      <w:hyperlink w:anchor="fig-proportionsBTS">
        <w:r>
          <w:rPr>
            <w:rStyle w:val="Hyperlink"/>
          </w:rPr>
          <w:t xml:space="preserve">Figure 4</w:t>
        </w:r>
      </w:hyperlink>
      <w:r>
        <w:t xml:space="preserve">, and</w:t>
      </w:r>
      <w:r>
        <w:t xml:space="preserve"> </w:t>
      </w:r>
      <w:hyperlink w:anchor="fig-proportionsATS">
        <w:r>
          <w:rPr>
            <w:rStyle w:val="Hyperlink"/>
          </w:rPr>
          <w:t xml:space="preserve">Figure 5</w:t>
        </w:r>
      </w:hyperlink>
      <w:r>
        <w:t xml:space="preserve">). Other preparations</w:t>
      </w:r>
      <w:r>
        <w:t xml:space="preserve"> </w:t>
      </w:r>
      <w:r>
        <w:t xml:space="preserve">involved estimating the age-determination errors for each method following that of</w:t>
      </w:r>
      <w:r>
        <w:t xml:space="preserve"> </w:t>
      </w:r>
      <w:r>
        <w:t xml:space="preserve">Punt et al. (2008)</w:t>
      </w:r>
      <w:r>
        <w:t xml:space="preserve">. For the FTNIRs data, we optionally estimated separate age-estimation error</w:t>
      </w:r>
      <w:r>
        <w:t xml:space="preserve"> </w:t>
      </w:r>
      <w:r>
        <w:t xml:space="preserve">matrices by gear type. The appearance of the fleet-aggregated and fleet-specific input</w:t>
      </w:r>
      <w:r>
        <w:t xml:space="preserve"> </w:t>
      </w:r>
      <w:r>
        <w:t xml:space="preserve">data files is shown in</w:t>
      </w:r>
      <w:r>
        <w:t xml:space="preserve"> </w:t>
      </w:r>
      <w:hyperlink w:anchor="fig-dataFile">
        <w:r>
          <w:rPr>
            <w:rStyle w:val="Hyperlink"/>
          </w:rPr>
          <w:t xml:space="preserve">Figure 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4" w:name="fig-proportionsFSH"/>
          <w:p>
            <w:pPr>
              <w:pStyle w:val="Compact"/>
              <w:jc w:val="center"/>
            </w:pPr>
            <w:r>
              <w:drawing>
                <wp:inline>
                  <wp:extent cx="5334000" cy="4661551"/>
                  <wp:effectExtent b="0" l="0" r="0" t="0"/>
                  <wp:docPr descr="" title="" id="32" name="Picture"/>
                  <a:graphic>
                    <a:graphicData uri="http://schemas.openxmlformats.org/drawingml/2006/picture">
                      <pic:pic>
                        <pic:nvPicPr>
                          <pic:cNvPr descr="figs/proportionsFSH.png" id="33" name="Picture"/>
                          <pic:cNvPicPr>
                            <a:picLocks noChangeArrowheads="1" noChangeAspect="1"/>
                          </pic:cNvPicPr>
                        </pic:nvPicPr>
                        <pic:blipFill>
                          <a:blip r:embed="rId31"/>
                          <a:stretch>
                            <a:fillRect/>
                          </a:stretch>
                        </pic:blipFill>
                        <pic:spPr bwMode="auto">
                          <a:xfrm>
                            <a:off x="0" y="0"/>
                            <a:ext cx="5334000" cy="4661551"/>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Proportions at age for recent years for the fishery data where the columns represent the traditional microscope age estimates (TMA) compared to the FTNIRs age estimates (lines for the red-outlined panels).</w:t>
            </w:r>
          </w:p>
          <w:bookmarkEnd w:id="34"/>
        </w:tc>
      </w:tr>
    </w:tbl>
    <w:tbl>
      <w:tblPr>
        <w:tblStyle w:val="Table"/>
        <w:tblW w:type="pct" w:w="5000"/>
        <w:tblLayout w:type="fixed"/>
        <w:tblLook w:firstRow="0" w:lastRow="0" w:firstColumn="0" w:lastColumn="0" w:noHBand="0" w:noVBand="0" w:val="0000"/>
      </w:tblPr>
      <w:tblGrid>
        <w:gridCol w:w="7920"/>
      </w:tblGrid>
      <w:tr>
        <w:tc>
          <w:tcPr/>
          <w:bookmarkStart w:id="38" w:name="fig-proportionsBTS"/>
          <w:p>
            <w:pPr>
              <w:pStyle w:val="Compact"/>
              <w:jc w:val="center"/>
            </w:pPr>
            <w:r>
              <w:drawing>
                <wp:inline>
                  <wp:extent cx="5334000" cy="4615961"/>
                  <wp:effectExtent b="0" l="0" r="0" t="0"/>
                  <wp:docPr descr="" title="" id="36" name="Picture"/>
                  <a:graphic>
                    <a:graphicData uri="http://schemas.openxmlformats.org/drawingml/2006/picture">
                      <pic:pic>
                        <pic:nvPicPr>
                          <pic:cNvPr descr="figs/proportionsBTS.png" id="37" name="Picture"/>
                          <pic:cNvPicPr>
                            <a:picLocks noChangeArrowheads="1" noChangeAspect="1"/>
                          </pic:cNvPicPr>
                        </pic:nvPicPr>
                        <pic:blipFill>
                          <a:blip r:embed="rId35"/>
                          <a:stretch>
                            <a:fillRect/>
                          </a:stretch>
                        </pic:blipFill>
                        <pic:spPr bwMode="auto">
                          <a:xfrm>
                            <a:off x="0" y="0"/>
                            <a:ext cx="5334000" cy="4615961"/>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Proportions at age for recent years for the bottom-trawl survey data where the columns represent the traditional microscope age estimates (TMA) compared to the FTNIRs age estimates (lines for the red-outlined panels).</w:t>
            </w:r>
          </w:p>
          <w:bookmarkEnd w:id="38"/>
        </w:tc>
      </w:tr>
    </w:tbl>
    <w:tbl>
      <w:tblPr>
        <w:tblStyle w:val="Table"/>
        <w:tblW w:type="pct" w:w="5000"/>
        <w:tblLayout w:type="fixed"/>
        <w:tblLook w:firstRow="0" w:lastRow="0" w:firstColumn="0" w:lastColumn="0" w:noHBand="0" w:noVBand="0" w:val="0000"/>
      </w:tblPr>
      <w:tblGrid>
        <w:gridCol w:w="7920"/>
      </w:tblGrid>
      <w:tr>
        <w:tc>
          <w:tcPr/>
          <w:bookmarkStart w:id="42" w:name="fig-proportionsATS"/>
          <w:p>
            <w:pPr>
              <w:pStyle w:val="Compact"/>
              <w:jc w:val="center"/>
            </w:pPr>
            <w:r>
              <w:drawing>
                <wp:inline>
                  <wp:extent cx="5334000" cy="4501987"/>
                  <wp:effectExtent b="0" l="0" r="0" t="0"/>
                  <wp:docPr descr="" title="" id="40" name="Picture"/>
                  <a:graphic>
                    <a:graphicData uri="http://schemas.openxmlformats.org/drawingml/2006/picture">
                      <pic:pic>
                        <pic:nvPicPr>
                          <pic:cNvPr descr="figs/proportionsATS.png" id="41" name="Picture"/>
                          <pic:cNvPicPr>
                            <a:picLocks noChangeArrowheads="1" noChangeAspect="1"/>
                          </pic:cNvPicPr>
                        </pic:nvPicPr>
                        <pic:blipFill>
                          <a:blip r:embed="rId39"/>
                          <a:stretch>
                            <a:fillRect/>
                          </a:stretch>
                        </pic:blipFill>
                        <pic:spPr bwMode="auto">
                          <a:xfrm>
                            <a:off x="0" y="0"/>
                            <a:ext cx="5334000" cy="4501987"/>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Proportions at age for recent years for the acoustic-trawl survey data where the columns represent the traditional microscope age estimates (TMA) compared to the FTNIRs age estimates (lines for the red-outlined panels).</w:t>
            </w:r>
          </w:p>
          <w:bookmarkEnd w:id="42"/>
        </w:tc>
      </w:tr>
    </w:tbl>
    <w:tbl>
      <w:tblPr>
        <w:tblStyle w:val="Table"/>
        <w:tblW w:type="pct" w:w="5000"/>
        <w:tblLayout w:type="fixed"/>
        <w:tblLook w:firstRow="0" w:lastRow="0" w:firstColumn="0" w:lastColumn="0" w:noHBand="0" w:noVBand="0" w:val="0000"/>
      </w:tblPr>
      <w:tblGrid>
        <w:gridCol w:w="7920"/>
      </w:tblGrid>
      <w:tr>
        <w:tc>
          <w:tcPr/>
          <w:bookmarkStart w:id="46" w:name="fig-dataFile"/>
          <w:p>
            <w:pPr>
              <w:pStyle w:val="Compact"/>
              <w:jc w:val="center"/>
            </w:pPr>
            <w:r>
              <w:drawing>
                <wp:inline>
                  <wp:extent cx="3222780" cy="4898114"/>
                  <wp:effectExtent b="0" l="0" r="0" t="0"/>
                  <wp:docPr descr="" title="" id="44" name="Picture"/>
                  <a:graphic>
                    <a:graphicData uri="http://schemas.openxmlformats.org/drawingml/2006/picture">
                      <pic:pic>
                        <pic:nvPicPr>
                          <pic:cNvPr descr="figs/DataFile.png" id="45" name="Picture"/>
                          <pic:cNvPicPr>
                            <a:picLocks noChangeArrowheads="1" noChangeAspect="1"/>
                          </pic:cNvPicPr>
                        </pic:nvPicPr>
                        <pic:blipFill>
                          <a:blip r:embed="rId43"/>
                          <a:stretch>
                            <a:fillRect/>
                          </a:stretch>
                        </pic:blipFill>
                        <pic:spPr bwMode="auto">
                          <a:xfrm>
                            <a:off x="0" y="0"/>
                            <a:ext cx="3222780" cy="4898114"/>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Schematic of input datafile showing the breakout of the fleet-specific FTNIRs age-error matrices (right panel) compared to that where the global FTNIRs age-error matrices are used (left panel).</w:t>
            </w:r>
          </w:p>
          <w:bookmarkEnd w:id="46"/>
        </w:tc>
      </w:tr>
    </w:tbl>
    <w:p>
      <w:pPr>
        <w:pStyle w:val="BodyText"/>
      </w:pPr>
      <w:r>
        <w:t xml:space="preserve">For the assessment model, the alternatives are shown based on the coverage of data and</w:t>
      </w:r>
      <w:r>
        <w:t xml:space="preserve"> </w:t>
      </w:r>
      <w:r>
        <w:t xml:space="preserve">availability among types of ageing is shown in</w:t>
      </w:r>
      <w:r>
        <w:t xml:space="preserve"> </w:t>
      </w:r>
      <w:hyperlink w:anchor="fig-dataExtent">
        <w:r>
          <w:rPr>
            <w:rStyle w:val="Hyperlink"/>
          </w:rPr>
          <w:t xml:space="preserve">Figure 7</w:t>
        </w:r>
      </w:hyperlink>
      <w:r>
        <w:t xml:space="preserve">. These figures are intended</w:t>
      </w:r>
      <w:r>
        <w:t xml:space="preserve"> </w:t>
      </w:r>
      <w:r>
        <w:t xml:space="preserve">to show what data are available for the model testing and the different ways of treating</w:t>
      </w:r>
      <w:r>
        <w:t xml:space="preserve"> </w:t>
      </w:r>
      <w:r>
        <w:t xml:space="preserve">age determination error matrices.</w:t>
      </w:r>
    </w:p>
    <w:tbl>
      <w:tblPr>
        <w:tblStyle w:val="Table"/>
        <w:tblW w:type="pct" w:w="5000"/>
        <w:tblLayout w:type="fixed"/>
        <w:tblLook w:firstRow="0" w:lastRow="0" w:firstColumn="0" w:lastColumn="0" w:noHBand="0" w:noVBand="0" w:val="0000"/>
      </w:tblPr>
      <w:tblGrid>
        <w:gridCol w:w="7920"/>
      </w:tblGrid>
      <w:tr>
        <w:tc>
          <w:tcPr/>
          <w:bookmarkStart w:id="50" w:name="fig-dataExtent"/>
          <w:p>
            <w:pPr>
              <w:pStyle w:val="Compact"/>
              <w:jc w:val="center"/>
            </w:pPr>
            <w:r>
              <w:drawing>
                <wp:inline>
                  <wp:extent cx="5334000" cy="2963333"/>
                  <wp:effectExtent b="0" l="0" r="0" t="0"/>
                  <wp:docPr descr="" title="" id="48" name="Picture"/>
                  <a:graphic>
                    <a:graphicData uri="http://schemas.openxmlformats.org/drawingml/2006/picture">
                      <pic:pic>
                        <pic:nvPicPr>
                          <pic:cNvPr descr="figs/DataExtent.png" id="49" name="Picture"/>
                          <pic:cNvPicPr>
                            <a:picLocks noChangeArrowheads="1" noChangeAspect="1"/>
                          </pic:cNvPicPr>
                        </pic:nvPicPr>
                        <pic:blipFill>
                          <a:blip r:embed="rId47"/>
                          <a:stretch>
                            <a:fillRect/>
                          </a:stretch>
                        </pic:blipFill>
                        <pic:spPr bwMode="auto">
                          <a:xfrm>
                            <a:off x="0" y="0"/>
                            <a:ext cx="5334000" cy="2963333"/>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Data extent by age composition for the models with FTNIRs age estimates. The data types are for the Fishery, bottom trawl survey (BTS), and acoustic trawl survey (ATS) and the years of coverage are shown in the x-axis.</w:t>
            </w:r>
          </w:p>
          <w:bookmarkEnd w:id="50"/>
        </w:tc>
      </w:tr>
    </w:tbl>
    <w:bookmarkEnd w:id="51"/>
    <w:bookmarkStart w:id="71" w:name="comparisons-of-fit-to-ft-nirs-models"/>
    <w:p>
      <w:pPr>
        <w:pStyle w:val="Heading2"/>
      </w:pPr>
      <w:r>
        <w:t xml:space="preserve">Comparisons of fit to FT-NIRS models</w:t>
      </w:r>
    </w:p>
    <w:p>
      <w:pPr>
        <w:pStyle w:val="FirstParagraph"/>
      </w:pPr>
      <w:r>
        <w:t xml:space="preserve">The layout of model runs comparing the traditional microscope ages (TMA) with the FT-NIRS</w:t>
      </w:r>
      <w:r>
        <w:t xml:space="preserve"> </w:t>
      </w:r>
      <w:r>
        <w:t xml:space="preserve">ages is shown in</w:t>
      </w:r>
      <w:r>
        <w:t xml:space="preserve"> </w:t>
      </w:r>
      <w:hyperlink w:anchor="tbl-ftn_runs">
        <w:r>
          <w:rPr>
            <w:rStyle w:val="Hyperlink"/>
          </w:rPr>
          <w:t xml:space="preserve">Table 1</w:t>
        </w:r>
      </w:hyperlink>
      <w:r>
        <w:t xml:space="preserve">. The models are run with the FT-NIRS data with different</w:t>
      </w:r>
      <w:r>
        <w:t xml:space="preserve"> </w:t>
      </w:r>
      <w:r>
        <w:t xml:space="preserve">age-error matrix specficiations. The model fits to the data are shown in</w:t>
      </w:r>
      <w:r>
        <w:t xml:space="preserve"> </w:t>
      </w:r>
      <w:hyperlink w:anchor="tbl-modfits">
        <w:r>
          <w:rPr>
            <w:rStyle w:val="Hyperlink"/>
          </w:rPr>
          <w:t xml:space="preserve">Table 2</w:t>
        </w:r>
      </w:hyperlink>
      <w:r>
        <w:t xml:space="preserve">. The</w:t>
      </w:r>
      <w:r>
        <w:t xml:space="preserve"> </w:t>
      </w:r>
      <w:r>
        <w:t xml:space="preserve">table shows the goodness-of-fit</w:t>
      </w:r>
    </w:p>
    <w:tbl>
      <w:tblPr>
        <w:tblStyle w:val="Table"/>
        <w:tblW w:type="pct" w:w="5000"/>
        <w:tblLayout w:type="fixed"/>
        <w:tblLook w:firstRow="0" w:lastRow="0" w:firstColumn="0" w:lastColumn="0" w:noHBand="0" w:noVBand="0" w:val="0000"/>
      </w:tblPr>
      <w:tblGrid>
        <w:gridCol w:w="7920"/>
      </w:tblGrid>
      <w:tr>
        <w:tc>
          <w:tcPr/>
          <w:bookmarkStart w:id="52" w:name="tbl-ftn_runs"/>
          <w:p>
            <w:pPr>
              <w:jc w:val="center"/>
            </w:pPr>
            <w:pPr>
              <w:jc w:val="start"/>
              <w:spacing w:before="200"/>
              <w:pStyle w:val="ImageCaption"/>
            </w:pPr>
            <w:r>
              <w:t xml:space="preserve">Table 1: Configuration of different model options testing the impact of different treatment of the age composition data and ageing error.</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start w:val="single" w:space="0" w:color="D3D3D3"/>
                  </w:tcBorders>
                </w:tcPr>
                <w:p>
                  <w:pPr>
                    <w:spacing w:before="0" w:after="60"/>
                    <w:keepNext/>
                  </w:pPr>
                  <w:r>
                    <w:rPr>
                      <w:rFonts w:ascii="Calibri" w:hAnsi="Calibri"/>
                      <w:sz w:val="20"/>
                    </w:rPr>
                    <w:t xml:space="default"/>
                  </w:r>
                </w:p>
              </w:tc>
              <w:tc>
                <w:tcPr>
                  <w:tcBorders>
                    <w:top w:val="single" w:sz="16" w:space="0" w:color="D3D3D3"/>
                    <w:bottom w:val="single" w:sz="16" w:space="0" w:color="D3D3D3"/>
                    <w:end w:val="single" w:space="0" w:color="D3D3D3"/>
                  </w:tcBorders>
                  <w:gridSpan w:val="2"/>
                </w:tcPr>
                <w:p>
                  <w:pPr>
                    <w:spacing w:before="0" w:after="60"/>
                    <w:keepNext/>
                    <w:jc w:val="center"/>
                  </w:pPr>
                  <w:r>
                    <w:rPr>
                      <w:rFonts w:ascii="Calibri" w:hAnsi="Calibri"/>
                      <w:sz w:val="20"/>
                    </w:rPr>
                    <w:t xml:space="default">Model description</w:t>
                  </w:r>
                </w:p>
              </w:tc>
            </w:tr>
            <w:tr>
              <w:trPr>
                <w:cantSplit/>
                <w:tblHeader/>
              </w:trPr>
              <w:tc>
                <w:tcPr>
                  <w:tcBorders>
                    <w:bottom w:val="single" w:sz="16" w:space="0" w:color="D3D3D3"/>
                    <w:start w:val="single" w:space="0" w:color="D3D3D3"/>
                  </w:tcBorders>
                </w:tcPr>
                <w:p>
                  <w:pPr>
                    <w:spacing w:before="0" w:after="60"/>
                    <w:keepNext/>
                    <w:jc w:val="center"/>
                  </w:pPr>
                  <w:r>
                    <w:rPr>
                      <w:rFonts w:ascii="Calibri" w:hAnsi="Calibri"/>
                      <w:sz w:val="20"/>
                    </w:rPr>
                    <w:t xml:space="default">Name</w:t>
                  </w:r>
                </w:p>
              </w:tc>
              <w:tc>
                <w:tcPr>
                  <w:tcBorders>
                    <w:bottom w:val="single" w:sz="16" w:space="0" w:color="D3D3D3"/>
                  </w:tcBorders>
                </w:tcPr>
                <w:p>
                  <w:pPr>
                    <w:spacing w:before="0" w:after="60"/>
                    <w:keepNext/>
                    <w:jc w:val="center"/>
                  </w:pPr>
                  <w:r>
                    <w:rPr>
                      <w:rFonts w:ascii="Calibri" w:hAnsi="Calibri"/>
                      <w:sz w:val="20"/>
                    </w:rPr>
                    <w:t xml:space="default">Age type</w:t>
                  </w:r>
                </w:p>
              </w:tc>
              <w:tc>
                <w:tcPr>
                  <w:tcBorders>
                    <w:bottom w:val="single" w:sz="16" w:space="0" w:color="D3D3D3"/>
                    <w:end w:val="single" w:space="0" w:color="D3D3D3"/>
                  </w:tcBorders>
                </w:tcPr>
                <w:p>
                  <w:pPr>
                    <w:spacing w:before="0" w:after="60"/>
                    <w:keepNext/>
                    <w:jc w:val="center"/>
                  </w:pPr>
                  <w:r>
                    <w:rPr>
                      <w:rFonts w:ascii="Calibri" w:hAnsi="Calibri"/>
                      <w:sz w:val="20"/>
                    </w:rPr>
                    <w:t xml:space="default">Age-error</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Base</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TMA</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Global TMA</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FT-NIR 1</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TMA + FT-NIR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Global TMA, global FT-NIR</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FT-NIR 2</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TMA + FT-NIR</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Global TMA, disaggregated FT-NIR</w:t>
                  </w:r>
                </w:p>
              </w:tc>
            </w:tr>
          </w:tbl>
          <w:bookmarkEnd w:id="52"/>
        </w:tc>
      </w:tr>
    </w:tbl>
    <w:tbl>
      <w:tblPr>
        <w:tblStyle w:val="Table"/>
        <w:tblW w:type="pct" w:w="5000"/>
        <w:tblLayout w:type="fixed"/>
        <w:tblLook w:firstRow="0" w:lastRow="0" w:firstColumn="0" w:lastColumn="0" w:noHBand="0" w:noVBand="0" w:val="0000"/>
      </w:tblPr>
      <w:tblGrid>
        <w:gridCol w:w="7920"/>
      </w:tblGrid>
      <w:tr>
        <w:tc>
          <w:tcPr/>
          <w:bookmarkStart w:id="53" w:name="tbl-modfits"/>
          <w:p>
            <w:pPr>
              <w:jc w:val="center"/>
            </w:pPr>
            <w:pPr>
              <w:jc w:val="start"/>
              <w:spacing w:before="200"/>
              <w:pStyle w:val="ImageCaption"/>
            </w:pPr>
            <w:r>
              <w:t xml:space="preserve">Table 2: Goodness-of-fit measures to primary data for different data and age-error applications. RMSE=root-mean square log errors, NLL=negative log-likelihood, SDNR=standard deviation of normalized residuals, Eff. N=effective sample size for composition data). See text for incremental model descriptions.</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Component</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Base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FT-NIR fleets aggregated</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FT-NIR fleet-specific</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RMSE BTS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0.151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0.152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RMSE ATS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0.167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0.163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0.158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RMSE AVO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0.217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0.215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RMSE CPUE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0.097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0.097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0.097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SDNR BTS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0.890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0.880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SDNR ATS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0.880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SDNR AVO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0.940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Eff. N Fishery</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358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381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Eff. N BTS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Eff. N ATS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Catch NLL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BTS NLL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ATS NLL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ATS Age1 NLL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AVO NLL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 Age NLL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417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559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614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BTS Age NLL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286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313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ATS Age NLL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NLL selectivity</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NLL Priors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Data NLL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995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1,032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Total NLL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1110.900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1298.930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1332.810</w:t>
                  </w:r>
                </w:p>
              </w:tc>
            </w:tr>
          </w:tbl>
          <w:bookmarkEnd w:id="53"/>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4" w:name="tbl-ftn_ref"/>
          <w:p>
            <w:pPr>
              <w:jc w:val="center"/>
            </w:pPr>
            <w:pPr>
              <w:jc w:val="start"/>
              <w:spacing w:before="200"/>
              <w:pStyle w:val="ImageCaption"/>
            </w:pPr>
            <w:r>
              <w:t xml:space="preserve">Table 3: Estimated derived quantities and selected corresponding CVs for stock status and reference point estimates to primary data (base) and for different FT-NIR data treatments for age-error estimates. See text for incremental model descriptions.</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Component</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Base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FT-NIR fleets aggregated</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FT-NIR fleet-specific</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${B}_{2025}$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2,800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2,500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2,700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$CV_{B_{2025}}$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0.14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$B_{MSY}$</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1,667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1,652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1,670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$CV_{B_{MSY}}$</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0.23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0.23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w:t>
                  </w:r>
                  <w:r>
                    <w:rPr>
                      <w:i/>
                      <w:rFonts w:ascii="Calibri" w:hAnsi="Calibri"/>
                      <w:sz w:val="20"/>
                    </w:rPr>
                    <w:t xml:space="preserve">{2025}/B</w:t>
                  </w:r>
                  <w:r>
                    <w:rPr>
                      <w:rFonts w:ascii="Calibri" w:hAnsi="Calibri"/>
                      <w:sz w:val="20"/>
                    </w:rPr>
                    <w:t xml:space="preserve">{MSY}$</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165%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153%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162%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$B_0$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4,318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4,360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4,436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$B_{35%}$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1,935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1,898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1,931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SPR rate at $F_{MSY}$</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Steepness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0.63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0.64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0.64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Est. $B_{2024} / B_{2024,no fishing}$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0.65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0.62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0.64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$B_{2024} / B_{MSY}$</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182%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169%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178%</w:t>
                  </w:r>
                </w:p>
              </w:tc>
            </w:tr>
          </w:tbl>
          <w:bookmarkEnd w:id="54"/>
        </w:tc>
      </w:tr>
    </w:tbl>
    <w:tbl>
      <w:tblPr>
        <w:tblStyle w:val="Table"/>
        <w:tblW w:type="pct" w:w="5000"/>
        <w:tblLayout w:type="fixed"/>
        <w:tblLook w:firstRow="0" w:lastRow="0" w:firstColumn="0" w:lastColumn="0" w:noHBand="0" w:noVBand="0" w:val="0000"/>
      </w:tblPr>
      <w:tblGrid>
        <w:gridCol w:w="7920"/>
      </w:tblGrid>
      <w:tr>
        <w:tc>
          <w:tcPr/>
          <w:bookmarkStart w:id="58" w:name="fig-mod_fit_agg_comp"/>
          <w:p>
            <w:pPr>
              <w:pStyle w:val="Compact"/>
              <w:jc w:val="center"/>
            </w:pPr>
            <w:r>
              <w:drawing>
                <wp:inline>
                  <wp:extent cx="5334000" cy="2845836"/>
                  <wp:effectExtent b="0" l="0" r="0" t="0"/>
                  <wp:docPr descr="" title="" id="56" name="Picture"/>
                  <a:graphic>
                    <a:graphicData uri="http://schemas.openxmlformats.org/drawingml/2006/picture">
                      <pic:pic>
                        <pic:nvPicPr>
                          <pic:cNvPr descr="figs/mod_fit_agg_comp.png" id="57" name="Picture"/>
                          <pic:cNvPicPr>
                            <a:picLocks noChangeArrowheads="1" noChangeAspect="1"/>
                          </pic:cNvPicPr>
                        </pic:nvPicPr>
                        <pic:blipFill>
                          <a:blip r:embed="rId55"/>
                          <a:stretch>
                            <a:fillRect/>
                          </a:stretch>
                        </pic:blipFill>
                        <pic:spPr bwMode="auto">
                          <a:xfrm>
                            <a:off x="0" y="0"/>
                            <a:ext cx="5334000" cy="2845836"/>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One-step ahead residuals for different model specifications for the fishery composition data</w:t>
            </w:r>
          </w:p>
          <w:bookmarkEnd w:id="58"/>
        </w:tc>
      </w:tr>
    </w:tbl>
    <w:tbl>
      <w:tblPr>
        <w:tblStyle w:val="Table"/>
        <w:tblW w:type="pct" w:w="5000"/>
        <w:tblLayout w:type="fixed"/>
        <w:tblLook w:firstRow="0" w:lastRow="0" w:firstColumn="0" w:lastColumn="0" w:noHBand="0" w:noVBand="0" w:val="0000"/>
      </w:tblPr>
      <w:tblGrid>
        <w:gridCol w:w="7920"/>
      </w:tblGrid>
      <w:tr>
        <w:tc>
          <w:tcPr/>
          <w:bookmarkStart w:id="62" w:name="fig-bts_fish"/>
          <w:p>
            <w:pPr>
              <w:pStyle w:val="Compact"/>
              <w:jc w:val="center"/>
            </w:pPr>
            <w:r>
              <w:drawing>
                <wp:inline>
                  <wp:extent cx="5334000" cy="2720975"/>
                  <wp:effectExtent b="0" l="0" r="0" t="0"/>
                  <wp:docPr descr="" title="" id="60" name="Picture"/>
                  <a:graphic>
                    <a:graphicData uri="http://schemas.openxmlformats.org/drawingml/2006/picture">
                      <pic:pic>
                        <pic:nvPicPr>
                          <pic:cNvPr descr="figs/fish_osa.png" id="61" name="Picture"/>
                          <pic:cNvPicPr>
                            <a:picLocks noChangeArrowheads="1" noChangeAspect="1"/>
                          </pic:cNvPicPr>
                        </pic:nvPicPr>
                        <pic:blipFill>
                          <a:blip r:embed="rId59"/>
                          <a:stretch>
                            <a:fillRect/>
                          </a:stretch>
                        </pic:blipFill>
                        <pic:spPr bwMode="auto">
                          <a:xfrm>
                            <a:off x="0" y="0"/>
                            <a:ext cx="5334000" cy="27209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One-step ahead residuals for different model specifications for the fishery composition data</w:t>
            </w:r>
          </w:p>
          <w:bookmarkEnd w:id="62"/>
        </w:tc>
      </w:tr>
    </w:tbl>
    <w:tbl>
      <w:tblPr>
        <w:tblStyle w:val="Table"/>
        <w:tblW w:type="pct" w:w="5000"/>
        <w:tblLayout w:type="fixed"/>
        <w:tblLook w:firstRow="0" w:lastRow="0" w:firstColumn="0" w:lastColumn="0" w:noHBand="0" w:noVBand="0" w:val="0000"/>
      </w:tblPr>
      <w:tblGrid>
        <w:gridCol w:w="7920"/>
      </w:tblGrid>
      <w:tr>
        <w:tc>
          <w:tcPr/>
          <w:bookmarkStart w:id="66" w:name="fig-bts_osa"/>
          <w:p>
            <w:pPr>
              <w:pStyle w:val="Compact"/>
              <w:jc w:val="center"/>
            </w:pPr>
            <w:r>
              <w:drawing>
                <wp:inline>
                  <wp:extent cx="5334000" cy="2757516"/>
                  <wp:effectExtent b="0" l="0" r="0" t="0"/>
                  <wp:docPr descr="" title="" id="64" name="Picture"/>
                  <a:graphic>
                    <a:graphicData uri="http://schemas.openxmlformats.org/drawingml/2006/picture">
                      <pic:pic>
                        <pic:nvPicPr>
                          <pic:cNvPr descr="figs/bts_osa.png" id="65" name="Picture"/>
                          <pic:cNvPicPr>
                            <a:picLocks noChangeArrowheads="1" noChangeAspect="1"/>
                          </pic:cNvPicPr>
                        </pic:nvPicPr>
                        <pic:blipFill>
                          <a:blip r:embed="rId63"/>
                          <a:stretch>
                            <a:fillRect/>
                          </a:stretch>
                        </pic:blipFill>
                        <pic:spPr bwMode="auto">
                          <a:xfrm>
                            <a:off x="0" y="0"/>
                            <a:ext cx="5334000" cy="2757516"/>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One-step ahead residuals for different model specifications for the bottom-trawl survey composition data</w:t>
            </w:r>
          </w:p>
          <w:bookmarkEnd w:id="66"/>
        </w:tc>
      </w:tr>
    </w:tbl>
    <w:tbl>
      <w:tblPr>
        <w:tblStyle w:val="Table"/>
        <w:tblW w:type="pct" w:w="5000"/>
        <w:tblLayout w:type="fixed"/>
        <w:tblLook w:firstRow="0" w:lastRow="0" w:firstColumn="0" w:lastColumn="0" w:noHBand="0" w:noVBand="0" w:val="0000"/>
      </w:tblPr>
      <w:tblGrid>
        <w:gridCol w:w="7920"/>
      </w:tblGrid>
      <w:tr>
        <w:tc>
          <w:tcPr/>
          <w:bookmarkStart w:id="70" w:name="fig-ats_osa"/>
          <w:p>
            <w:pPr>
              <w:pStyle w:val="Compact"/>
              <w:jc w:val="center"/>
            </w:pPr>
            <w:r>
              <w:drawing>
                <wp:inline>
                  <wp:extent cx="5334000" cy="2714795"/>
                  <wp:effectExtent b="0" l="0" r="0" t="0"/>
                  <wp:docPr descr="" title="" id="68" name="Picture"/>
                  <a:graphic>
                    <a:graphicData uri="http://schemas.openxmlformats.org/drawingml/2006/picture">
                      <pic:pic>
                        <pic:nvPicPr>
                          <pic:cNvPr descr="figs/ats_osa.png" id="69" name="Picture"/>
                          <pic:cNvPicPr>
                            <a:picLocks noChangeArrowheads="1" noChangeAspect="1"/>
                          </pic:cNvPicPr>
                        </pic:nvPicPr>
                        <pic:blipFill>
                          <a:blip r:embed="rId67"/>
                          <a:stretch>
                            <a:fillRect/>
                          </a:stretch>
                        </pic:blipFill>
                        <pic:spPr bwMode="auto">
                          <a:xfrm>
                            <a:off x="0" y="0"/>
                            <a:ext cx="5334000" cy="271479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One-step ahead residuals for different model specifications for the acoustic-trawl survey composition data</w:t>
            </w:r>
          </w:p>
          <w:bookmarkEnd w:id="70"/>
        </w:tc>
      </w:tr>
    </w:tbl>
    <w:bookmarkEnd w:id="71"/>
    <w:bookmarkEnd w:id="72"/>
    <w:bookmarkStart w:id="96" w:name="sec-loo"/>
    <w:p>
      <w:pPr>
        <w:pStyle w:val="Heading1"/>
      </w:pPr>
      <w:r>
        <w:t xml:space="preserve">Leave-one-out survey sensitivity analysis</w:t>
      </w:r>
    </w:p>
    <w:p>
      <w:pPr>
        <w:pStyle w:val="FirstParagraph"/>
      </w:pPr>
      <w:r>
        <w:t xml:space="preserve">Here we present model runs that downweight one or more sources of survey data at a time.</w:t>
      </w:r>
      <w:r>
        <w:t xml:space="preserve"> </w:t>
      </w:r>
      <w:hyperlink w:anchor="tbl-loo_runs">
        <w:r>
          <w:rPr>
            <w:rStyle w:val="Hyperlink"/>
          </w:rPr>
          <w:t xml:space="preserve">Table 4</w:t>
        </w:r>
      </w:hyperlink>
      <w:r>
        <w:t xml:space="preserve"> </w:t>
      </w:r>
      <w:r>
        <w:t xml:space="preserve">shows the combinations of data types included for this analysis, which</w:t>
      </w:r>
      <w:r>
        <w:t xml:space="preserve"> </w:t>
      </w:r>
      <w:r>
        <w:t xml:space="preserve">includes six model runs: (1) downweight all Acoustic Trawl Survey (ATS) data (age 1 survey</w:t>
      </w:r>
      <w:r>
        <w:t xml:space="preserve"> </w:t>
      </w:r>
      <w:r>
        <w:t xml:space="preserve">index, age 2+ survey biomass index, and age composition data), (2) downweight the ATS age</w:t>
      </w:r>
      <w:r>
        <w:t xml:space="preserve"> </w:t>
      </w:r>
      <w:r>
        <w:t xml:space="preserve">composition data, (3) downweight the Acoustic Vessels of Opportunity (AVO) data (survey</w:t>
      </w:r>
      <w:r>
        <w:t xml:space="preserve"> </w:t>
      </w:r>
      <w:r>
        <w:t xml:space="preserve">biomass index), (4) downweight all Eastern Bering Sea Trawl Survey (BTS) data (age 1+</w:t>
      </w:r>
      <w:r>
        <w:t xml:space="preserve"> </w:t>
      </w:r>
      <w:r>
        <w:t xml:space="preserve">survey biomass index and age composition data), (5) downweight the BTS age composition</w:t>
      </w:r>
      <w:r>
        <w:t xml:space="preserve"> </w:t>
      </w:r>
      <w:r>
        <w:t xml:space="preserve">data, and (6) downweight all survey biomass indices (BTS, ATS, and AVO survey biomass</w:t>
      </w:r>
      <w:r>
        <w:t xml:space="preserve"> </w:t>
      </w:r>
      <w:r>
        <w:t xml:space="preserve">indices). The ATS age 1 data are included as a separate survey index in the assessment</w:t>
      </w:r>
      <w:r>
        <w:t xml:space="preserve"> </w:t>
      </w:r>
      <w:r>
        <w:t xml:space="preserve">model, while BTS age 1 data are included with the age composition data in the multinomial</w:t>
      </w:r>
      <w:r>
        <w:t xml:space="preserve"> </w:t>
      </w:r>
      <w:r>
        <w:t xml:space="preserve">objective function component.</w:t>
      </w:r>
    </w:p>
    <w:tbl>
      <w:tblPr>
        <w:tblStyle w:val="Table"/>
        <w:tblW w:type="pct" w:w="5000"/>
        <w:tblLayout w:type="fixed"/>
        <w:tblLook w:firstRow="0" w:lastRow="0" w:firstColumn="0" w:lastColumn="0" w:noHBand="0" w:noVBand="0" w:val="0000"/>
      </w:tblPr>
      <w:tblGrid>
        <w:gridCol w:w="7920"/>
      </w:tblGrid>
      <w:tr>
        <w:tc>
          <w:tcPr/>
          <w:bookmarkStart w:id="73" w:name="tbl-loo_runs"/>
          <w:p>
            <w:pPr>
              <w:jc w:val="center"/>
            </w:pPr>
            <w:pPr>
              <w:jc w:val="start"/>
              <w:spacing w:before="200"/>
              <w:pStyle w:val="ImageCaption"/>
            </w:pPr>
            <w:r>
              <w:t xml:space="preserve">Table 4: Configuration of different model options testing the impact of different data components</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start w:val="single" w:space="0" w:color="D3D3D3"/>
                  </w:tcBorders>
                </w:tcPr>
                <w:p>
                  <w:pPr>
                    <w:spacing w:before="0" w:after="60"/>
                    <w:keepNext/>
                  </w:pPr>
                  <w:r>
                    <w:rPr>
                      <w:rFonts w:ascii="Calibri" w:hAnsi="Calibri"/>
                      <w:sz w:val="20"/>
                    </w:rPr>
                    <w:t xml:space="default"/>
                  </w:r>
                </w:p>
              </w:tc>
              <w:tc>
                <w:tcPr>
                  <w:tcBorders>
                    <w:top w:val="single" w:sz="16" w:space="0" w:color="D3D3D3"/>
                    <w:bottom w:val="single" w:sz="16" w:space="0" w:color="D3D3D3"/>
                    <w:end w:val="single" w:space="0" w:color="D3D3D3"/>
                  </w:tcBorders>
                  <w:gridSpan w:val="6"/>
                </w:tcPr>
                <w:p>
                  <w:pPr>
                    <w:spacing w:before="0" w:after="60"/>
                    <w:keepNext/>
                    <w:jc w:val="center"/>
                  </w:pPr>
                  <w:r>
                    <w:rPr>
                      <w:rFonts w:ascii="Calibri" w:hAnsi="Calibri"/>
                      <w:sz w:val="20"/>
                    </w:rPr>
                    <w:t xml:space="default">Model description</w:t>
                  </w:r>
                </w:p>
              </w:tc>
            </w:tr>
            <w:tr>
              <w:trPr>
                <w:cantSplit/>
                <w:tblHeader/>
              </w:trPr>
              <w:tc>
                <w:tcPr>
                  <w:tcBorders>
                    <w:bottom w:val="single" w:sz="16" w:space="0" w:color="D3D3D3"/>
                    <w:start w:val="single" w:space="0" w:color="D3D3D3"/>
                  </w:tcBorders>
                </w:tcPr>
                <w:p>
                  <w:pPr>
                    <w:spacing w:before="0" w:after="60"/>
                    <w:keepNext/>
                    <w:jc w:val="center"/>
                  </w:pPr>
                  <w:r>
                    <w:rPr>
                      <w:rFonts w:ascii="Calibri" w:hAnsi="Calibri"/>
                      <w:sz w:val="20"/>
                    </w:rPr>
                    <w:t xml:space="default">Dataset</w:t>
                  </w:r>
                </w:p>
              </w:tc>
              <w:tc>
                <w:tcPr>
                  <w:tcBorders>
                    <w:bottom w:val="single" w:sz="16" w:space="0" w:color="D3D3D3"/>
                  </w:tcBorders>
                </w:tcPr>
                <w:p>
                  <w:pPr>
                    <w:spacing w:before="0" w:after="60"/>
                    <w:keepNext/>
                    <w:jc w:val="center"/>
                  </w:pPr>
                  <w:r>
                    <w:rPr>
                      <w:rFonts w:ascii="Calibri" w:hAnsi="Calibri"/>
                      <w:sz w:val="20"/>
                    </w:rPr>
                    <w:t xml:space="default">Drop all BTS</w:t>
                  </w:r>
                </w:p>
              </w:tc>
              <w:tc>
                <w:tcPr>
                  <w:tcBorders>
                    <w:bottom w:val="single" w:sz="16" w:space="0" w:color="D3D3D3"/>
                  </w:tcBorders>
                </w:tcPr>
                <w:p>
                  <w:pPr>
                    <w:spacing w:before="0" w:after="60"/>
                    <w:keepNext/>
                    <w:jc w:val="center"/>
                  </w:pPr>
                  <w:r>
                    <w:rPr>
                      <w:rFonts w:ascii="Calibri" w:hAnsi="Calibri"/>
                      <w:sz w:val="20"/>
                    </w:rPr>
                    <w:t xml:space="default">Drop all ATS</w:t>
                  </w:r>
                </w:p>
              </w:tc>
              <w:tc>
                <w:tcPr>
                  <w:tcBorders>
                    <w:bottom w:val="single" w:sz="16" w:space="0" w:color="D3D3D3"/>
                  </w:tcBorders>
                </w:tcPr>
                <w:p>
                  <w:pPr>
                    <w:spacing w:before="0" w:after="60"/>
                    <w:keepNext/>
                    <w:jc w:val="center"/>
                  </w:pPr>
                  <w:r>
                    <w:rPr>
                      <w:rFonts w:ascii="Calibri" w:hAnsi="Calibri"/>
                      <w:sz w:val="20"/>
                    </w:rPr>
                    <w:t xml:space="default">Drop all indices</w:t>
                  </w:r>
                </w:p>
              </w:tc>
              <w:tc>
                <w:tcPr>
                  <w:tcBorders>
                    <w:bottom w:val="single" w:sz="16" w:space="0" w:color="D3D3D3"/>
                  </w:tcBorders>
                </w:tcPr>
                <w:p>
                  <w:pPr>
                    <w:spacing w:before="0" w:after="60"/>
                    <w:keepNext/>
                    <w:jc w:val="center"/>
                  </w:pPr>
                  <w:r>
                    <w:rPr>
                      <w:rFonts w:ascii="Calibri" w:hAnsi="Calibri"/>
                      <w:sz w:val="20"/>
                    </w:rPr>
                    <w:t xml:space="default">Drop AVO</w:t>
                  </w:r>
                </w:p>
              </w:tc>
              <w:tc>
                <w:tcPr>
                  <w:tcBorders>
                    <w:bottom w:val="single" w:sz="16" w:space="0" w:color="D3D3D3"/>
                  </w:tcBorders>
                </w:tcPr>
                <w:p>
                  <w:pPr>
                    <w:spacing w:before="0" w:after="60"/>
                    <w:keepNext/>
                    <w:jc w:val="center"/>
                  </w:pPr>
                  <w:r>
                    <w:rPr>
                      <w:rFonts w:ascii="Calibri" w:hAnsi="Calibri"/>
                      <w:sz w:val="20"/>
                    </w:rPr>
                    <w:t xml:space="default">Drop BTS Age composition</w:t>
                  </w:r>
                </w:p>
              </w:tc>
              <w:tc>
                <w:tcPr>
                  <w:tcBorders>
                    <w:bottom w:val="single" w:sz="16" w:space="0" w:color="D3D3D3"/>
                    <w:end w:val="single" w:space="0" w:color="D3D3D3"/>
                  </w:tcBorders>
                </w:tcPr>
                <w:p>
                  <w:pPr>
                    <w:spacing w:before="0" w:after="60"/>
                    <w:keepNext/>
                    <w:jc w:val="center"/>
                  </w:pPr>
                  <w:r>
                    <w:rPr>
                      <w:rFonts w:ascii="Calibri" w:hAnsi="Calibri"/>
                      <w:sz w:val="20"/>
                    </w:rPr>
                    <w:t xml:space="default">Drop ATS Age composition</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BTS age 2+ Index</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X</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X</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ATS age 2+ Index</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X</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X</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ATS age 1 Index</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X</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X</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AVO Index</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X</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BTS comps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X</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X</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ATS comps</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X</w: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
                  </w:r>
                </w:p>
              </w:tc>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X</w:t>
                  </w:r>
                </w:p>
              </w:tc>
            </w:tr>
          </w:tbl>
          <w:bookmarkEnd w:id="73"/>
        </w:tc>
      </w:tr>
    </w:tbl>
    <w:p>
      <w:pPr>
        <w:pStyle w:val="BodyText"/>
      </w:pPr>
      <w:r>
        <w:t xml:space="preserve">Among these models, downweighting the BTS data (both solely downweighting the BTS age</w:t>
      </w:r>
      <w:r>
        <w:t xml:space="preserve"> </w:t>
      </w:r>
      <w:r>
        <w:t xml:space="preserve">composition data and downweighting all BTS data) led to changes in trends over time in</w:t>
      </w:r>
      <w:r>
        <w:t xml:space="preserve"> </w:t>
      </w:r>
      <w:r>
        <w:t xml:space="preserve">estimated spawning biomass</w:t>
      </w:r>
      <w:r>
        <w:t xml:space="preserve"> </w:t>
      </w:r>
      <w:hyperlink w:anchor="fig-loo-ssb">
        <w:r>
          <w:rPr>
            <w:rStyle w:val="Hyperlink"/>
          </w:rPr>
          <w:t xml:space="preserve">Figure 12</w:t>
        </w:r>
      </w:hyperlink>
      <w:r>
        <w:t xml:space="preserve"> </w:t>
      </w:r>
      <w:r>
        <w:t xml:space="preserve">. The model estimates of recruitment were variable</w:t>
      </w:r>
      <w:r>
        <w:t xml:space="preserve"> </w:t>
      </w:r>
      <w:r>
        <w:t xml:space="preserve">across sensitivity runs, but estimates differed the most from the 2024 accepted model when</w:t>
      </w:r>
      <w:r>
        <w:t xml:space="preserve"> </w:t>
      </w:r>
      <w:r>
        <w:t xml:space="preserve">all BTS data were downweighted</w:t>
      </w:r>
      <w:r>
        <w:t xml:space="preserve"> </w:t>
      </w:r>
      <w:hyperlink w:anchor="fig-loo-recruitment">
        <w:r>
          <w:rPr>
            <w:rStyle w:val="Hyperlink"/>
          </w:rPr>
          <w:t xml:space="preserve">Figure 13</w:t>
        </w:r>
      </w:hyperlink>
      <w:r>
        <w:t xml:space="preserve">. Estimates of BTS survey biomass fit</w:t>
      </w:r>
      <w:r>
        <w:t xml:space="preserve"> </w:t>
      </w:r>
      <w:r>
        <w:t xml:space="preserve">the BTS data very poorly in most years when the BTS data were downweighted</w:t>
      </w:r>
      <w:r>
        <w:t xml:space="preserve"> </w:t>
      </w:r>
      <w:r>
        <w:t xml:space="preserve">(</w:t>
      </w:r>
      <w:hyperlink w:anchor="fig-loo-bts-index">
        <w:r>
          <w:rPr>
            <w:rStyle w:val="Hyperlink"/>
          </w:rPr>
          <w:t xml:space="preserve">Figure 14</w:t>
        </w:r>
      </w:hyperlink>
      <w:r>
        <w:t xml:space="preserve">). Additionally, the fits to the BTS survey biomass were affected by</w:t>
      </w:r>
      <w:r>
        <w:t xml:space="preserve"> </w:t>
      </w:r>
      <w:r>
        <w:t xml:space="preserve">downweighting the BTS age composition data (without downweighting the BTS survey index).</w:t>
      </w:r>
      <w:r>
        <w:t xml:space="preserve"> </w:t>
      </w:r>
      <w:r>
        <w:t xml:space="preserve">The model was relatively insensitive to other data being excluded, and fits to the ATS and</w:t>
      </w:r>
      <w:r>
        <w:t xml:space="preserve"> </w:t>
      </w:r>
      <w:r>
        <w:t xml:space="preserve">AVO indices were relatively insensitive to downweighting the BTS data (see</w:t>
      </w:r>
      <w:r>
        <w:t xml:space="preserve"> </w:t>
      </w:r>
      <w:hyperlink w:anchor="fig-loo-bts-index">
        <w:r>
          <w:rPr>
            <w:rStyle w:val="Hyperlink"/>
          </w:rPr>
          <w:t xml:space="preserve">Figure 14</w:t>
        </w:r>
      </w:hyperlink>
      <w:r>
        <w:t xml:space="preserve">,</w:t>
      </w:r>
      <w:r>
        <w:t xml:space="preserve"> </w:t>
      </w:r>
      <w:hyperlink w:anchor="fig-loo-ats-index">
        <w:r>
          <w:rPr>
            <w:rStyle w:val="Hyperlink"/>
          </w:rPr>
          <w:t xml:space="preserve">Figure 15</w:t>
        </w:r>
      </w:hyperlink>
      <w:r>
        <w:t xml:space="preserve">, and</w:t>
      </w:r>
      <w:r>
        <w:t xml:space="preserve"> </w:t>
      </w:r>
      <w:hyperlink w:anchor="fig-loo-avo-index">
        <w:r>
          <w:rPr>
            <w:rStyle w:val="Hyperlink"/>
          </w:rPr>
          <w:t xml:space="preserve">Figure 16</w:t>
        </w:r>
      </w:hyperlink>
      <w:r>
        <w:t xml:space="preserve">). The root mean square</w:t>
      </w:r>
      <w:r>
        <w:t xml:space="preserve"> </w:t>
      </w:r>
      <w:r>
        <w:t xml:space="preserve">error (RMSE) in</w:t>
      </w:r>
      <w:r>
        <w:t xml:space="preserve"> </w:t>
      </w:r>
      <w:hyperlink w:anchor="tbl-loo_fits">
        <w:r>
          <w:rPr>
            <w:rStyle w:val="Hyperlink"/>
          </w:rPr>
          <w:t xml:space="preserve">Table 5</w:t>
        </w:r>
      </w:hyperlink>
      <w:r>
        <w:t xml:space="preserve"> </w:t>
      </w:r>
      <w:r>
        <w:t xml:space="preserve">for the model run that downweighted all BTS data was large</w:t>
      </w:r>
      <w:r>
        <w:t xml:space="preserve"> </w:t>
      </w:r>
      <w:r>
        <w:t xml:space="preserve">and the and effective sample size (Eff. N) was low as compared to the 2024 accepted model.</w:t>
      </w:r>
      <w:r>
        <w:t xml:space="preserve"> </w:t>
      </w:r>
      <w:r>
        <w:t xml:space="preserve">Additionally, downweighting solely the BTS age composition data led to low effective</w:t>
      </w:r>
      <w:r>
        <w:t xml:space="preserve"> </w:t>
      </w:r>
      <w:r>
        <w:t xml:space="preserve">sample size for the BTS.</w:t>
      </w:r>
    </w:p>
    <w:p>
      <w:pPr>
        <w:pStyle w:val="BodyText"/>
      </w:pPr>
      <w:r>
        <w:t xml:space="preserve">The importance of the survey data can be seen in some of the reference calculations where</w:t>
      </w:r>
      <w:r>
        <w:t xml:space="preserve"> </w:t>
      </w:r>
      <w:r>
        <w:t xml:space="preserve">the uncertainty increases dramatically and the stock-status perception was quite different</w:t>
      </w:r>
      <w:r>
        <w:t xml:space="preserve"> </w:t>
      </w:r>
      <w:r>
        <w:t xml:space="preserve">across sensitivity runs</w:t>
      </w:r>
      <w:r>
        <w:t xml:space="preserve"> </w:t>
      </w:r>
      <w:hyperlink w:anchor="tbl-loo_ref">
        <w:r>
          <w:rPr>
            <w:rStyle w:val="Hyperlink"/>
          </w:rPr>
          <w:t xml:space="preserve">Table 6</w:t>
        </w:r>
      </w:hyperlink>
      <w:r>
        <w:t xml:space="preserve">. Most dramatically, dropping all survey indices led</w:t>
      </w:r>
      <w:r>
        <w:t xml:space="preserve"> </w:t>
      </w:r>
      <w:r>
        <w:t xml:space="preserve">to a CV in</w:t>
      </w:r>
      <w:r>
        <w:t xml:space="preserve"> </w:t>
      </w:r>
      <w:r>
        <w:t xml:space="preserve">“</w:t>
      </w:r>
      <m:oMath>
        <m:sSub>
          <m:e>
            <m:r>
              <m:t>B</m:t>
            </m:r>
          </m:e>
          <m:sub>
            <m:r>
              <m:t>M</m:t>
            </m:r>
            <m:r>
              <m:t>S</m:t>
            </m:r>
            <m:r>
              <m:t>Y</m:t>
            </m:r>
          </m:sub>
        </m:sSub>
      </m:oMath>
      <w:r>
        <w:t xml:space="preserve">”</w:t>
      </w:r>
      <w:r>
        <w:t xml:space="preserve"> </w:t>
      </w:r>
      <w:r>
        <w:t xml:space="preserve">estimates of 1.26 as compared to 0.13 in the 2024 accepted model.</w:t>
      </w:r>
    </w:p>
    <w:tbl>
      <w:tblPr>
        <w:tblStyle w:val="Table"/>
        <w:tblW w:type="pct" w:w="5000"/>
        <w:tblLayout w:type="fixed"/>
        <w:tblLook w:firstRow="0" w:lastRow="0" w:firstColumn="0" w:lastColumn="0" w:noHBand="0" w:noVBand="0" w:val="0000"/>
      </w:tblPr>
      <w:tblGrid>
        <w:gridCol w:w="7920"/>
      </w:tblGrid>
      <w:tr>
        <w:tc>
          <w:tcPr/>
          <w:bookmarkStart w:id="77" w:name="fig-loo-ssb"/>
          <w:p>
            <w:pPr>
              <w:pStyle w:val="Compact"/>
              <w:jc w:val="center"/>
            </w:pPr>
            <w:r>
              <w:drawing>
                <wp:inline>
                  <wp:extent cx="5334000" cy="2667000"/>
                  <wp:effectExtent b="0" l="0" r="0" t="0"/>
                  <wp:docPr descr="" title="" id="75" name="Picture"/>
                  <a:graphic>
                    <a:graphicData uri="http://schemas.openxmlformats.org/drawingml/2006/picture">
                      <pic:pic>
                        <pic:nvPicPr>
                          <pic:cNvPr descr="figs/loo_rel_ssb.png" id="76" name="Picture"/>
                          <pic:cNvPicPr>
                            <a:picLocks noChangeArrowheads="1" noChangeAspect="1"/>
                          </pic:cNvPicPr>
                        </pic:nvPicPr>
                        <pic:blipFill>
                          <a:blip r:embed="rId74"/>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Comparison of spawning biomass (SSB) relative to the 2024 accepted model for models that downweight one data source at a time</w:t>
            </w:r>
          </w:p>
          <w:bookmarkEnd w:id="77"/>
        </w:tc>
      </w:tr>
    </w:tbl>
    <w:tbl>
      <w:tblPr>
        <w:tblStyle w:val="Table"/>
        <w:tblW w:type="pct" w:w="5000"/>
        <w:tblLayout w:type="fixed"/>
        <w:tblLook w:firstRow="0" w:lastRow="0" w:firstColumn="0" w:lastColumn="0" w:noHBand="0" w:noVBand="0" w:val="0000"/>
      </w:tblPr>
      <w:tblGrid>
        <w:gridCol w:w="7920"/>
      </w:tblGrid>
      <w:tr>
        <w:tc>
          <w:tcPr/>
          <w:bookmarkStart w:id="81" w:name="fig-loo-recruitment"/>
          <w:p>
            <w:pPr>
              <w:pStyle w:val="Compact"/>
              <w:jc w:val="center"/>
            </w:pPr>
            <w:r>
              <w:drawing>
                <wp:inline>
                  <wp:extent cx="5334000" cy="1777999"/>
                  <wp:effectExtent b="0" l="0" r="0" t="0"/>
                  <wp:docPr descr="" title="" id="79" name="Picture"/>
                  <a:graphic>
                    <a:graphicData uri="http://schemas.openxmlformats.org/drawingml/2006/picture">
                      <pic:pic>
                        <pic:nvPicPr>
                          <pic:cNvPr descr="figs/loo_recruits.png" id="80" name="Picture"/>
                          <pic:cNvPicPr>
                            <a:picLocks noChangeArrowheads="1" noChangeAspect="1"/>
                          </pic:cNvPicPr>
                        </pic:nvPicPr>
                        <pic:blipFill>
                          <a:blip r:embed="rId78"/>
                          <a:stretch>
                            <a:fillRect/>
                          </a:stretch>
                        </pic:blipFill>
                        <pic:spPr bwMode="auto">
                          <a:xfrm>
                            <a:off x="0" y="0"/>
                            <a:ext cx="5334000" cy="1777999"/>
                          </a:xfrm>
                          <a:prstGeom prst="rect">
                            <a:avLst/>
                          </a:prstGeom>
                          <a:noFill/>
                          <a:ln w="9525">
                            <a:noFill/>
                            <a:headEnd/>
                            <a:tailEnd/>
                          </a:ln>
                        </pic:spPr>
                      </pic:pic>
                    </a:graphicData>
                  </a:graphic>
                </wp:inline>
              </w:drawing>
            </w:r>
          </w:p>
          <w:p>
            <w:pPr>
              <w:jc w:val="center"/>
            </w:pPr>
            <w:pPr>
              <w:jc w:val="start"/>
              <w:spacing w:before="200"/>
              <w:pStyle w:val="ImageCaption"/>
            </w:pPr>
            <w:r>
              <w:t xml:space="preserve">Figure 13: Comparison of recruitment estimates for models that downweight one data source at a time</w:t>
            </w:r>
          </w:p>
          <w:bookmarkEnd w:id="81"/>
        </w:tc>
      </w:tr>
    </w:tbl>
    <w:tbl>
      <w:tblPr>
        <w:tblStyle w:val="Table"/>
        <w:tblW w:type="pct" w:w="5000"/>
        <w:tblLayout w:type="fixed"/>
        <w:tblLook w:firstRow="0" w:lastRow="0" w:firstColumn="0" w:lastColumn="0" w:noHBand="0" w:noVBand="0" w:val="0000"/>
      </w:tblPr>
      <w:tblGrid>
        <w:gridCol w:w="7920"/>
      </w:tblGrid>
      <w:tr>
        <w:tc>
          <w:tcPr/>
          <w:bookmarkStart w:id="85" w:name="fig-loo-bts-index"/>
          <w:p>
            <w:pPr>
              <w:pStyle w:val="Compact"/>
              <w:jc w:val="center"/>
            </w:pPr>
            <w:r>
              <w:drawing>
                <wp:inline>
                  <wp:extent cx="5334000" cy="2667000"/>
                  <wp:effectExtent b="0" l="0" r="0" t="0"/>
                  <wp:docPr descr="" title="" id="83" name="Picture"/>
                  <a:graphic>
                    <a:graphicData uri="http://schemas.openxmlformats.org/drawingml/2006/picture">
                      <pic:pic>
                        <pic:nvPicPr>
                          <pic:cNvPr descr="figs/loo_bts_index.png" id="84" name="Picture"/>
                          <pic:cNvPicPr>
                            <a:picLocks noChangeArrowheads="1" noChangeAspect="1"/>
                          </pic:cNvPicPr>
                        </pic:nvPicPr>
                        <pic:blipFill>
                          <a:blip r:embed="rId82"/>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14: Comparison of fits to the Eastern Bering Sea Bottom Trawl Survey (BTS) biomass index for models that downweight one data source at a time</w:t>
            </w:r>
          </w:p>
          <w:bookmarkEnd w:id="85"/>
        </w:tc>
      </w:tr>
    </w:tbl>
    <w:tbl>
      <w:tblPr>
        <w:tblStyle w:val="Table"/>
        <w:tblW w:type="pct" w:w="5000"/>
        <w:tblLayout w:type="fixed"/>
        <w:tblLook w:firstRow="0" w:lastRow="0" w:firstColumn="0" w:lastColumn="0" w:noHBand="0" w:noVBand="0" w:val="0000"/>
      </w:tblPr>
      <w:tblGrid>
        <w:gridCol w:w="7920"/>
      </w:tblGrid>
      <w:tr>
        <w:tc>
          <w:tcPr/>
          <w:bookmarkStart w:id="89" w:name="fig-loo-ats-index"/>
          <w:p>
            <w:pPr>
              <w:pStyle w:val="Compact"/>
              <w:jc w:val="center"/>
            </w:pPr>
            <w:r>
              <w:drawing>
                <wp:inline>
                  <wp:extent cx="5334000" cy="2667000"/>
                  <wp:effectExtent b="0" l="0" r="0" t="0"/>
                  <wp:docPr descr="" title="" id="87" name="Picture"/>
                  <a:graphic>
                    <a:graphicData uri="http://schemas.openxmlformats.org/drawingml/2006/picture">
                      <pic:pic>
                        <pic:nvPicPr>
                          <pic:cNvPr descr="figs/loo_ats_index.png" id="88" name="Picture"/>
                          <pic:cNvPicPr>
                            <a:picLocks noChangeArrowheads="1" noChangeAspect="1"/>
                          </pic:cNvPicPr>
                        </pic:nvPicPr>
                        <pic:blipFill>
                          <a:blip r:embed="rId86"/>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15: Comparison of fits to the Acoustic Trawl Survey (ATS) biomass index for models that downweight one data source at a time</w:t>
            </w:r>
          </w:p>
          <w:bookmarkEnd w:id="89"/>
        </w:tc>
      </w:tr>
    </w:tbl>
    <w:tbl>
      <w:tblPr>
        <w:tblStyle w:val="Table"/>
        <w:tblW w:type="pct" w:w="5000"/>
        <w:tblLayout w:type="fixed"/>
        <w:tblLook w:firstRow="0" w:lastRow="0" w:firstColumn="0" w:lastColumn="0" w:noHBand="0" w:noVBand="0" w:val="0000"/>
      </w:tblPr>
      <w:tblGrid>
        <w:gridCol w:w="7920"/>
      </w:tblGrid>
      <w:tr>
        <w:tc>
          <w:tcPr/>
          <w:bookmarkStart w:id="93" w:name="fig-loo-avo-index"/>
          <w:p>
            <w:pPr>
              <w:pStyle w:val="Compact"/>
              <w:jc w:val="center"/>
            </w:pPr>
            <w:r>
              <w:drawing>
                <wp:inline>
                  <wp:extent cx="5334000" cy="2667000"/>
                  <wp:effectExtent b="0" l="0" r="0" t="0"/>
                  <wp:docPr descr="" title="" id="91" name="Picture"/>
                  <a:graphic>
                    <a:graphicData uri="http://schemas.openxmlformats.org/drawingml/2006/picture">
                      <pic:pic>
                        <pic:nvPicPr>
                          <pic:cNvPr descr="figs/loo_avo_index.png" id="92" name="Picture"/>
                          <pic:cNvPicPr>
                            <a:picLocks noChangeArrowheads="1" noChangeAspect="1"/>
                          </pic:cNvPicPr>
                        </pic:nvPicPr>
                        <pic:blipFill>
                          <a:blip r:embed="rId90"/>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16: Comparison of fits to the Acoustic Vessels of Opportunity (AVO) biomass index for models that downweight one data source at a time</w:t>
            </w:r>
          </w:p>
          <w:bookmarkEnd w:id="93"/>
        </w:tc>
      </w:tr>
    </w:tbl>
    <w:tbl>
      <w:tblPr>
        <w:tblStyle w:val="Table"/>
        <w:tblW w:type="pct" w:w="5000"/>
        <w:tblLayout w:type="fixed"/>
        <w:tblLook w:firstRow="0" w:lastRow="0" w:firstColumn="0" w:lastColumn="0" w:noHBand="0" w:noVBand="0" w:val="0000"/>
      </w:tblPr>
      <w:tblGrid>
        <w:gridCol w:w="7920"/>
      </w:tblGrid>
      <w:tr>
        <w:tc>
          <w:tcPr/>
          <w:bookmarkStart w:id="94" w:name="tbl-loo_fits"/>
          <w:p>
            <w:pPr>
              <w:jc w:val="center"/>
            </w:pPr>
            <w:pPr>
              <w:jc w:val="start"/>
              <w:spacing w:before="200"/>
              <w:pStyle w:val="ImageCaption"/>
            </w:pPr>
            <w:r>
              <w:t xml:space="preserve">Table 5: Goodness-of-fit measures to primary data for leave-one-out model sensitivity runs. RMSE=root-mean square log errors, Eff. N=effective sample size for composition data).</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Component</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2024 accepted</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Drop BTS</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Drop ATS </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Drop AVO </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Drop indices</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Drop BTS age </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Drop ATS age </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RMSE BTS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0.689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0.152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0.157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RMSE ATS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0.182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0.188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0.191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0.187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0.178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0.175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RMSE AVO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0.229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0.238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0.241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0.238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0.232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RMSE CPUE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0.093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0.090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0.093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0.093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0.098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0.092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0.093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Eff. N Fishery</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1,182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1,379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1,190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1,185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1,176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1,344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1,196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Eff. N BTS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Eff. N ATS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269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269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273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158</w:t>
                  </w:r>
                </w:p>
              </w:tc>
            </w:tr>
          </w:tbl>
          <w:bookmarkEnd w:id="94"/>
        </w:tc>
      </w:tr>
    </w:tbl>
    <w:tbl>
      <w:tblPr>
        <w:tblStyle w:val="Table"/>
        <w:tblW w:type="pct" w:w="5000"/>
        <w:tblLayout w:type="fixed"/>
        <w:tblLook w:firstRow="0" w:lastRow="0" w:firstColumn="0" w:lastColumn="0" w:noHBand="0" w:noVBand="0" w:val="0000"/>
      </w:tblPr>
      <w:tblGrid>
        <w:gridCol w:w="7920"/>
      </w:tblGrid>
      <w:tr>
        <w:tc>
          <w:tcPr/>
          <w:bookmarkStart w:id="95" w:name="tbl-loo_ref"/>
          <w:p>
            <w:pPr>
              <w:jc w:val="center"/>
            </w:pPr>
            <w:pPr>
              <w:jc w:val="start"/>
              <w:spacing w:before="200"/>
              <w:pStyle w:val="ImageCaption"/>
            </w:pPr>
            <w:r>
              <w:t xml:space="preserve">Table 6: Estimated derived quantities and selected corresponding CVs for leave-one-out sensitivity analysis runs. See text for incremental model descriptions.</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Estimated Quantity</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2024 accepted</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Drop BTS</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Drop ATS </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Drop AVO </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Drop indices</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Drop BTS age </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Drop ATS age </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${B}_{2025}$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3,100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2,700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3,600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3,300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3,200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2,800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3,300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$CV_{B_{2025}}$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0.13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$B_{MSY}$</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2,310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2,415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2,360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2,322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3,677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2,301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2,334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$CV_{B_{MSY}}$</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0.32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0.31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w:t>
                  </w:r>
                  <w:r>
                    <w:rPr>
                      <w:i/>
                      <w:rFonts w:ascii="Calibri" w:hAnsi="Calibri"/>
                      <w:sz w:val="20"/>
                    </w:rPr>
                    <w:t xml:space="preserve">{2025}/B</w:t>
                  </w:r>
                  <w:r>
                    <w:rPr>
                      <w:rFonts w:ascii="Calibri" w:hAnsi="Calibri"/>
                      <w:sz w:val="20"/>
                    </w:rPr>
                    <w:t xml:space="preserve">{MSY}$</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135%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151%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141%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86%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123%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142%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$B_0$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5,975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6,136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6,120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6,009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8,934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5,904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6,050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$B_{35%}$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2,066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1,988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2,101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2,080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2,074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1,994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2,082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SPR rate at $F_{MSY}$</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42%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Steepness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0.62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0.59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0.62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0.62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0.52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0.61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0.62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Est. $B_{2024} / B_{2024,no fishing}$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0.61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0.51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0.63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0.61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0.42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0.61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$B_{2024} / B_{MSY}$</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147%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158%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151%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93%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138%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150%</w:t>
                  </w:r>
                </w:p>
              </w:tc>
            </w:tr>
          </w:tbl>
          <w:bookmarkEnd w:id="95"/>
        </w:tc>
      </w:tr>
    </w:tbl>
    <w:bookmarkEnd w:id="96"/>
    <w:bookmarkStart w:id="118" w:name="sec-multispp"/>
    <w:p>
      <w:pPr>
        <w:pStyle w:val="Heading1"/>
      </w:pPr>
      <w:r>
        <w:t xml:space="preserve">Other model evaluations for base model</w:t>
      </w:r>
    </w:p>
    <w:bookmarkStart w:id="110" w:name="X78b83116a079f9fbccdbea2e8a923245176ba43"/>
    <w:p>
      <w:pPr>
        <w:pStyle w:val="Heading2"/>
      </w:pPr>
      <w:r>
        <w:t xml:space="preserve">Multi-species M-at-age and year estimates</w:t>
      </w:r>
    </w:p>
    <w:p>
      <w:pPr>
        <w:pStyle w:val="FirstParagraph"/>
      </w:pPr>
      <w:r>
        <w:t xml:space="preserve">A commonly adopted approach is to use estimated natural mortality-at-age and year from</w:t>
      </w:r>
      <w:r>
        <w:t xml:space="preserve"> </w:t>
      </w:r>
      <w:r>
        <w:t xml:space="preserve">multispecies trophic interaction models (e.g.,</w:t>
      </w:r>
      <w:r>
        <w:t xml:space="preserve"> </w:t>
      </w:r>
      <w:r>
        <w:t xml:space="preserve">Trijoulet, Fay, and Miller (2020)</w:t>
      </w:r>
      <w:r>
        <w:t xml:space="preserve">). The current assessment has</w:t>
      </w:r>
      <w:r>
        <w:t xml:space="preserve"> </w:t>
      </w:r>
      <w:r>
        <w:t xml:space="preserve">an option to include the 2024 CEATTLE estimates of natural mortality (</w:t>
      </w:r>
      <w:hyperlink w:anchor="tbl-Mmatrix">
        <w:r>
          <w:rPr>
            <w:rStyle w:val="Hyperlink"/>
          </w:rPr>
          <w:t xml:space="preserve">Table 7</w:t>
        </w:r>
      </w:hyperlink>
      <w:r>
        <w:t xml:space="preserve">;</w:t>
      </w:r>
      <w:r>
        <w:t xml:space="preserve"> </w:t>
      </w:r>
      <w:hyperlink w:anchor="fig-Mmatrix_matrix">
        <w:r>
          <w:rPr>
            <w:rStyle w:val="Hyperlink"/>
          </w:rPr>
          <w:t xml:space="preserve">Figure 17</w:t>
        </w:r>
      </w:hyperlink>
      <w:r>
        <w:t xml:space="preserve">). This resulted in slightly higher recruitment (</w:t>
      </w:r>
      <w:hyperlink w:anchor="fig-Mmat-recruitment">
        <w:r>
          <w:rPr>
            <w:rStyle w:val="Hyperlink"/>
          </w:rPr>
          <w:t xml:space="preserve">Figure 18</w:t>
        </w:r>
      </w:hyperlink>
      <w:r>
        <w:t xml:space="preserve">)</w:t>
      </w:r>
      <w:r>
        <w:t xml:space="preserve"> </w:t>
      </w:r>
      <w:r>
        <w:t xml:space="preserve">lower spawning biomass in the near term (</w:t>
      </w:r>
      <w:hyperlink w:anchor="fig-Mmat-ssb">
        <w:r>
          <w:rPr>
            <w:rStyle w:val="Hyperlink"/>
          </w:rPr>
          <w:t xml:space="preserve">Figure 19</w:t>
        </w:r>
      </w:hyperlink>
      <w:r>
        <w:t xml:space="preserve">). This is due to the higher natural</w:t>
      </w:r>
      <w:r>
        <w:t xml:space="preserve"> </w:t>
      </w:r>
      <w:r>
        <w:t xml:space="preserve">mortality for most ages and years compared to the base 2024 model.</w:t>
      </w:r>
    </w:p>
    <w:tbl>
      <w:tblPr>
        <w:tblStyle w:val="Table"/>
        <w:tblW w:type="pct" w:w="5000"/>
        <w:tblLayout w:type="fixed"/>
        <w:tblLook w:firstRow="0" w:lastRow="0" w:firstColumn="0" w:lastColumn="0" w:noHBand="0" w:noVBand="0" w:val="0000"/>
      </w:tblPr>
      <w:tblGrid>
        <w:gridCol w:w="7920"/>
      </w:tblGrid>
      <w:tr>
        <w:tc>
          <w:tcPr/>
          <w:bookmarkStart w:id="100" w:name="fig-Mmatrix_matrix"/>
          <w:p>
            <w:pPr>
              <w:pStyle w:val="Compact"/>
              <w:jc w:val="center"/>
            </w:pPr>
            <w:r>
              <w:drawing>
                <wp:inline>
                  <wp:extent cx="5334000" cy="4267200"/>
                  <wp:effectExtent b="0" l="0" r="0" t="0"/>
                  <wp:docPr descr="" title="" id="98" name="Picture"/>
                  <a:graphic>
                    <a:graphicData uri="http://schemas.openxmlformats.org/drawingml/2006/picture">
                      <pic:pic>
                        <pic:nvPicPr>
                          <pic:cNvPr descr="CIE_files/figure-docx/fig-Mmatrix_matrix-1.png" id="99" name="Picture"/>
                          <pic:cNvPicPr>
                            <a:picLocks noChangeArrowheads="1" noChangeAspect="1"/>
                          </pic:cNvPicPr>
                        </pic:nvPicPr>
                        <pic:blipFill>
                          <a:blip r:embed="rId97"/>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17: Depiction of the natural mortality (variability from mean value at age) as estimated from CEATTLE.</w:t>
            </w:r>
          </w:p>
          <w:bookmarkEnd w:id="100"/>
        </w:tc>
      </w:tr>
    </w:tbl>
    <w:tbl>
      <w:tblPr>
        <w:tblStyle w:val="Table"/>
        <w:tblW w:type="pct" w:w="5000"/>
        <w:tblLayout w:type="fixed"/>
        <w:tblLook w:firstRow="0" w:lastRow="0" w:firstColumn="0" w:lastColumn="0" w:noHBand="0" w:noVBand="0" w:val="0000"/>
      </w:tblPr>
      <w:tblGrid>
        <w:gridCol w:w="7920"/>
      </w:tblGrid>
      <w:tr>
        <w:tc>
          <w:tcPr/>
          <w:bookmarkStart w:id="101" w:name="tbl-Mmatrix"/>
          <w:p>
            <w:pPr>
              <w:jc w:val="center"/>
            </w:pPr>
            <w:pPr>
              <w:jc w:val="start"/>
              <w:spacing w:before="200"/>
              <w:pStyle w:val="ImageCaption"/>
            </w:pPr>
            <w:r>
              <w:t xml:space="preserve">Table 7: Natural mortality-at-age used over ages and time based on the CEATTLE 2024 model.</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end w:val="single" w:space="0" w:color="D3D3D3"/>
                  </w:tcBorders>
                </w:tcPr>
                <w:p>
                  <w:pPr>
                    <w:spacing w:before="0" w:after="60"/>
                    <w:keepNext/>
                    <w:jc w:val="start"/>
                  </w:pPr>
                  <w:r>
                    <w:rPr>
                      <w:rFonts w:ascii="Calibri" w:hAnsi="Calibri"/>
                      <w:sz w:val="20"/>
                    </w:rPr>
                    <w:t xml:space="default"/>
                  </w:r>
                </w:p>
              </w:tc>
              <w:tc>
                <w:tcPr>
                  <w:tcBorders>
                    <w:top w:val="single" w:sz="16" w:space="0" w:color="D3D3D3"/>
                    <w:bottom w:val="single" w:sz="16" w:space="0" w:color="D3D3D3"/>
                    <w:start w:val="single" w:space="0" w:color="D3D3D3"/>
                  </w:tcBorders>
                </w:tcPr>
                <w:p>
                  <w:pPr>
                    <w:spacing w:before="0" w:after="60"/>
                    <w:keepNext/>
                    <w:jc w:val="end"/>
                  </w:pPr>
                  <w:r>
                    <w:rPr>
                      <w:rFonts w:ascii="Calibri" w:hAnsi="Calibri"/>
                      <w:sz w:val="20"/>
                    </w:rPr>
                    <w:t xml:space="default">1</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2</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3</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4</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5</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6</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7</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8</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9</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1964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1965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1966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1967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1968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1969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1970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1971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1972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1973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1974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1975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1976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1977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1978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1979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0.644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0.883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1981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1.022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1982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0.365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1983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0.358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1984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1.342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0.363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1985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0.362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1986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1.517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0.371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1987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1988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1.684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1989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1.632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0.368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1990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1.145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0.377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1991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0.365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1992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1.169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1993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1994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1.576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1995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1.493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0.365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1996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0.367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1997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1.168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0.355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1998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1.492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0.377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1999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0.355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1.249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0.362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1.194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0.355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1.199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0.353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1.367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0.364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0.374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1.366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0.387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1.243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1.355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0.385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0.377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1.328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0.378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0.368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1.361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0.374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1.358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0.384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0.863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1.586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0.378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1.688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0.375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1.975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0.349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2017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0.402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0.352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1.738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0.413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0.361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0.364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1.497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2021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0.365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2022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1.649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0.375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2023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1.421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0.367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0.321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2024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1.417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0.361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0.3001</w:t>
                  </w:r>
                </w:p>
              </w:tc>
            </w:tr>
          </w:tbl>
          <w:bookmarkEnd w:id="101"/>
        </w:tc>
      </w:tr>
    </w:tbl>
    <w:tbl>
      <w:tblPr>
        <w:tblStyle w:val="Table"/>
        <w:tblW w:type="pct" w:w="5000"/>
        <w:tblLayout w:type="fixed"/>
        <w:tblLook w:firstRow="0" w:lastRow="0" w:firstColumn="0" w:lastColumn="0" w:noHBand="0" w:noVBand="0" w:val="0000"/>
      </w:tblPr>
      <w:tblGrid>
        <w:gridCol w:w="7920"/>
      </w:tblGrid>
      <w:tr>
        <w:tc>
          <w:tcPr/>
          <w:bookmarkStart w:id="105" w:name="fig-Mmat-recruitment"/>
          <w:p>
            <w:pPr>
              <w:pStyle w:val="Compact"/>
              <w:jc w:val="center"/>
            </w:pPr>
            <w:r>
              <w:drawing>
                <wp:inline>
                  <wp:extent cx="5334000" cy="4267200"/>
                  <wp:effectExtent b="0" l="0" r="0" t="0"/>
                  <wp:docPr descr="" title="" id="103" name="Picture"/>
                  <a:graphic>
                    <a:graphicData uri="http://schemas.openxmlformats.org/drawingml/2006/picture">
                      <pic:pic>
                        <pic:nvPicPr>
                          <pic:cNvPr descr="CIE_files/figure-docx/fig-Mmat-recruitment-1.png" id="104" name="Picture"/>
                          <pic:cNvPicPr>
                            <a:picLocks noChangeArrowheads="1" noChangeAspect="1"/>
                          </pic:cNvPicPr>
                        </pic:nvPicPr>
                        <pic:blipFill>
                          <a:blip r:embed="rId102"/>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18: Comparison of recruitment estimates comparing 2024 assessment results with one where M-at-age and year is specified from CEATTLE.</w:t>
            </w:r>
          </w:p>
          <w:bookmarkEnd w:id="105"/>
        </w:tc>
      </w:tr>
    </w:tbl>
    <w:tbl>
      <w:tblPr>
        <w:tblStyle w:val="Table"/>
        <w:tblW w:type="pct" w:w="5000"/>
        <w:tblLayout w:type="fixed"/>
        <w:tblLook w:firstRow="0" w:lastRow="0" w:firstColumn="0" w:lastColumn="0" w:noHBand="0" w:noVBand="0" w:val="0000"/>
      </w:tblPr>
      <w:tblGrid>
        <w:gridCol w:w="7920"/>
      </w:tblGrid>
      <w:tr>
        <w:tc>
          <w:tcPr/>
          <w:bookmarkStart w:id="109" w:name="fig-Mmat-ssb"/>
          <w:p>
            <w:pPr>
              <w:pStyle w:val="Compact"/>
              <w:jc w:val="center"/>
            </w:pPr>
            <w:r>
              <w:drawing>
                <wp:inline>
                  <wp:extent cx="5334000" cy="4267200"/>
                  <wp:effectExtent b="0" l="0" r="0" t="0"/>
                  <wp:docPr descr="" title="" id="107" name="Picture"/>
                  <a:graphic>
                    <a:graphicData uri="http://schemas.openxmlformats.org/drawingml/2006/picture">
                      <pic:pic>
                        <pic:nvPicPr>
                          <pic:cNvPr descr="CIE_files/figure-docx/fig-Mmat-ssb-1.png" id="108" name="Picture"/>
                          <pic:cNvPicPr>
                            <a:picLocks noChangeArrowheads="1" noChangeAspect="1"/>
                          </pic:cNvPicPr>
                        </pic:nvPicPr>
                        <pic:blipFill>
                          <a:blip r:embed="rId106"/>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19: Comparison of spawning biomass (SSB) and SSB relative to the 2024 accepted model for model that uses the M-at-age matrix from CEATTLE.</w:t>
            </w:r>
          </w:p>
          <w:bookmarkEnd w:id="109"/>
        </w:tc>
      </w:tr>
    </w:tbl>
    <w:bookmarkEnd w:id="110"/>
    <w:bookmarkStart w:id="117" w:name="total-uncertainty-in-acoustics"/>
    <w:p>
      <w:pPr>
        <w:pStyle w:val="Heading2"/>
      </w:pPr>
      <w:r>
        <w:t xml:space="preserve">Total uncertainty in acoustics</w:t>
      </w:r>
    </w:p>
    <w:p>
      <w:pPr>
        <w:pStyle w:val="FirstParagraph"/>
      </w:pPr>
      <w:r>
        <w:t xml:space="preserve">We also include a comparison of revised acoustic-trawl estimates (</w:t>
      </w:r>
      <w:r>
        <w:t xml:space="preserve">Urmy, Ressler, and De Robertis (2025)</w:t>
      </w:r>
      <w:r>
        <w:t xml:space="preserve">;</w:t>
      </w:r>
      <w:r>
        <w:t xml:space="preserve"> </w:t>
      </w:r>
      <w:hyperlink w:anchor="fig-urmy_ats">
        <w:r>
          <w:rPr>
            <w:rStyle w:val="Hyperlink"/>
          </w:rPr>
          <w:t xml:space="preserve">Figure 20</w:t>
        </w:r>
      </w:hyperlink>
      <w:r>
        <w:t xml:space="preserve">). The natural mortaliity alternative run resulted in generally better fits</w:t>
      </w:r>
      <w:r>
        <w:t xml:space="preserve"> </w:t>
      </w:r>
      <w:r>
        <w:t xml:space="preserve">to most data components whereas the</w:t>
      </w:r>
      <w:r>
        <w:t xml:space="preserve"> </w:t>
      </w:r>
      <w:r>
        <w:t xml:space="preserve">“untuned”</w:t>
      </w:r>
      <w:r>
        <w:t xml:space="preserve"> </w:t>
      </w:r>
      <w:r>
        <w:t xml:space="preserve">run with the</w:t>
      </w:r>
      <w:r>
        <w:t xml:space="preserve"> </w:t>
      </w:r>
      <w:r>
        <w:t xml:space="preserve">Urmy, Ressler, and De Robertis (2025)</w:t>
      </w:r>
      <w:r>
        <w:t xml:space="preserve"> </w:t>
      </w:r>
      <w:r>
        <w:t xml:space="preserve">estimates were</w:t>
      </w:r>
      <w:r>
        <w:t xml:space="preserve"> </w:t>
      </w:r>
      <w:r>
        <w:t xml:space="preserve">generally poorer (</w:t>
      </w:r>
      <w:hyperlink w:anchor="tbl-Mmat_fits">
        <w:r>
          <w:rPr>
            <w:rStyle w:val="Hyperlink"/>
          </w:rPr>
          <w:t xml:space="preserve">Table 8</w:t>
        </w:r>
      </w:hyperlink>
      <w:r>
        <w:t xml:space="preserve">). Results from the</w:t>
      </w:r>
      <w:r>
        <w:t xml:space="preserve"> </w:t>
      </w:r>
      <w:r>
        <w:t xml:space="preserve">Urmy, Ressler, and De Robertis (2025)</w:t>
      </w:r>
      <w:r>
        <w:t xml:space="preserve"> </w:t>
      </w:r>
      <w:r>
        <w:t xml:space="preserve">had minor impact on</w:t>
      </w:r>
      <w:r>
        <w:t xml:space="preserve"> </w:t>
      </w:r>
      <w:r>
        <w:t xml:space="preserve">management-related quantities whereas those with the alternative natural mortality</w:t>
      </w:r>
      <w:r>
        <w:t xml:space="preserve"> </w:t>
      </w:r>
      <w:r>
        <w:t xml:space="preserve">specification differed in a number of ways (</w:t>
      </w:r>
      <w:hyperlink w:anchor="tbl-Mmat_ref">
        <w:r>
          <w:rPr>
            <w:rStyle w:val="Hyperlink"/>
          </w:rPr>
          <w:t xml:space="preserve">Table 9</w:t>
        </w:r>
      </w:hyperlink>
      <w:r>
        <w:t xml:space="preserve">). The most notable difference</w:t>
      </w:r>
      <w:r>
        <w:t xml:space="preserve"> </w:t>
      </w:r>
      <w:r>
        <w:t xml:space="preserve">was the estimated</w:t>
      </w:r>
      <w:r>
        <w:t xml:space="preserve"> </w:t>
      </w:r>
      <m:oMath>
        <m:sSub>
          <m:e>
            <m:r>
              <m:t>B</m:t>
            </m:r>
          </m:e>
          <m:sub>
            <m:r>
              <m:t>M</m:t>
            </m:r>
            <m:r>
              <m:t>S</m:t>
            </m:r>
            <m:r>
              <m:t>Y</m:t>
            </m:r>
          </m:sub>
        </m:sSub>
      </m:oMath>
      <w:r>
        <w:t xml:space="preserve"> </w:t>
      </w:r>
      <w:r>
        <w:t xml:space="preserve">and</w:t>
      </w:r>
      <w:r>
        <w:t xml:space="preserve"> </w:t>
      </w:r>
      <m:oMath>
        <m:sSub>
          <m:e>
            <m:r>
              <m:t>B</m:t>
            </m:r>
          </m:e>
          <m:sub>
            <m:r>
              <m:t>35</m:t>
            </m:r>
            <m:r>
              <m:rPr>
                <m:sty m:val="p"/>
              </m:rPr>
              <m:t>%</m:t>
            </m:r>
          </m:sub>
        </m:sSub>
      </m:oMath>
      <w:r>
        <w:t xml:space="preserve"> </w:t>
      </w:r>
      <w:r>
        <w:t xml:space="preserve">values.</w:t>
      </w:r>
    </w:p>
    <w:tbl>
      <w:tblPr>
        <w:tblStyle w:val="Table"/>
        <w:tblW w:type="pct" w:w="5000"/>
        <w:tblLayout w:type="fixed"/>
        <w:tblLook w:firstRow="0" w:lastRow="0" w:firstColumn="0" w:lastColumn="0" w:noHBand="0" w:noVBand="0" w:val="0000"/>
      </w:tblPr>
      <w:tblGrid>
        <w:gridCol w:w="7920"/>
      </w:tblGrid>
      <w:tr>
        <w:tc>
          <w:tcPr/>
          <w:bookmarkStart w:id="114" w:name="fig-urmy_ats"/>
          <w:p>
            <w:pPr>
              <w:pStyle w:val="Compact"/>
              <w:jc w:val="center"/>
            </w:pPr>
            <w:r>
              <w:drawing>
                <wp:inline>
                  <wp:extent cx="5334000" cy="4267200"/>
                  <wp:effectExtent b="0" l="0" r="0" t="0"/>
                  <wp:docPr descr="" title="" id="112" name="Picture"/>
                  <a:graphic>
                    <a:graphicData uri="http://schemas.openxmlformats.org/drawingml/2006/picture">
                      <pic:pic>
                        <pic:nvPicPr>
                          <pic:cNvPr descr="CIE_files/figure-docx/fig-urmy_ats-1.png" id="113" name="Picture"/>
                          <pic:cNvPicPr>
                            <a:picLocks noChangeArrowheads="1" noChangeAspect="1"/>
                          </pic:cNvPicPr>
                        </pic:nvPicPr>
                        <pic:blipFill>
                          <a:blip r:embed="rId111"/>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20: Comparison of fits to the Eastern Bering Sea acoustic-Trawl Survey (ATS) biomass index for the accepted 2024 model and one with revised estimates of index values and uncertainty from Urmy et al., (in prep).</w:t>
            </w:r>
          </w:p>
          <w:bookmarkEnd w:id="114"/>
        </w:tc>
      </w:tr>
    </w:tbl>
    <w:tbl>
      <w:tblPr>
        <w:tblStyle w:val="Table"/>
        <w:tblW w:type="pct" w:w="5000"/>
        <w:tblLayout w:type="fixed"/>
        <w:tblLook w:firstRow="0" w:lastRow="0" w:firstColumn="0" w:lastColumn="0" w:noHBand="0" w:noVBand="0" w:val="0000"/>
      </w:tblPr>
      <w:tblGrid>
        <w:gridCol w:w="7920"/>
      </w:tblGrid>
      <w:tr>
        <w:tc>
          <w:tcPr/>
          <w:bookmarkStart w:id="115" w:name="tbl-Mmat_fits"/>
          <w:p>
            <w:pPr>
              <w:jc w:val="center"/>
            </w:pPr>
            <w:pPr>
              <w:jc w:val="start"/>
              <w:spacing w:before="200"/>
              <w:pStyle w:val="ImageCaption"/>
            </w:pPr>
            <w:r>
              <w:t xml:space="preserve">Table 8: Goodness-of-fit measures to primary data for model sensitivity to applying the matrix of M-at-age and year and acoustic uncertainty estimates. RMSE=root-mean square log errors, SDNR=standard deviation of normalized residuals, Eff. N=effective sample size for composition data).</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Component</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2024 accepted</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Use CEATTLE M</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Urmy est.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RMSE BTS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0.161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RMSE ATS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0.179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0.226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RMSE AVO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0.229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0.236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RMSE CPUE</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0.093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0.093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0.093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SDNR BTS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0.950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0.970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SDNR ATS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0.990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1.220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SDNR AVO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0.960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1.020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Eff. N Fishery</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1,182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1,176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1,188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Eff. N BTS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Eff. N ATS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269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267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278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Catch NLL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BTS NLL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ATS NLL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ATS Age1 NLL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AVO NLL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Fish Age NLL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BTS Age NLL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ATS Age NLL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NLL selectivity</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NLL Priors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Data NLL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465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468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480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Total NLL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735</w:t>
                  </w:r>
                </w:p>
              </w:tc>
            </w:tr>
          </w:tbl>
          <w:bookmarkEnd w:id="115"/>
        </w:tc>
      </w:tr>
    </w:tbl>
    <w:tbl>
      <w:tblPr>
        <w:tblStyle w:val="Table"/>
        <w:tblW w:type="pct" w:w="5000"/>
        <w:tblLayout w:type="fixed"/>
        <w:tblLook w:firstRow="0" w:lastRow="0" w:firstColumn="0" w:lastColumn="0" w:noHBand="0" w:noVBand="0" w:val="0000"/>
      </w:tblPr>
      <w:tblGrid>
        <w:gridCol w:w="7920"/>
      </w:tblGrid>
      <w:tr>
        <w:tc>
          <w:tcPr/>
          <w:bookmarkStart w:id="116" w:name="tbl-Mmat_ref"/>
          <w:p>
            <w:pPr>
              <w:jc w:val="center"/>
            </w:pPr>
            <w:pPr>
              <w:jc w:val="start"/>
              <w:spacing w:before="200"/>
              <w:pStyle w:val="ImageCaption"/>
            </w:pPr>
            <w:r>
              <w:t xml:space="preserve">Table 9: Estimated derived quantities and selected corresponding CVs for sensitivity to natural mortality specification and acoustic uncertainty estimates.</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Estimated Quantity</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2024 accepted</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Use CEATTLE M</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Urmy est.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${B}_{2025}$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3,100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3,000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3,000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$CV_{B_{2025}}$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0.13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$B_{MSY}$</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2,310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2,584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2,290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$CV_{B_{MSY}}$</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0.35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w:t>
                  </w:r>
                  <w:r>
                    <w:rPr>
                      <w:i/>
                      <w:rFonts w:ascii="Calibri" w:hAnsi="Calibri"/>
                      <w:sz w:val="20"/>
                    </w:rPr>
                    <w:t xml:space="preserve">{2025}/B</w:t>
                  </w:r>
                  <w:r>
                    <w:rPr>
                      <w:rFonts w:ascii="Calibri" w:hAnsi="Calibri"/>
                      <w:sz w:val="20"/>
                    </w:rPr>
                    <w:t xml:space="preserve">{MSY}$</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135%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131%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$B_0$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5,975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6,568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5,929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$B_{35%}$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2,066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1,844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2,057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SPR rate at $F_{MSY}$</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31%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Steepness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0.62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0.59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0.62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Est. $B_{2024} / B_{2024,no fishing}$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0.61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0.54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0.59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preserve">$B_{2024} / B_{MSY}$</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147%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127%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preserve">141%</w:t>
                  </w:r>
                </w:p>
              </w:tc>
            </w:tr>
          </w:tbl>
          <w:bookmarkEnd w:id="116"/>
        </w:tc>
      </w:tr>
    </w:tbl>
    <w:bookmarkEnd w:id="117"/>
    <w:bookmarkEnd w:id="118"/>
    <w:bookmarkStart w:id="187" w:name="sec-altsoft"/>
    <w:p>
      <w:pPr>
        <w:pStyle w:val="Heading1"/>
      </w:pPr>
      <w:r>
        <w:t xml:space="preserve">Alternative assessment software</w:t>
      </w:r>
    </w:p>
    <w:bookmarkStart w:id="143" w:name="stock-synthesis-3"/>
    <w:p>
      <w:pPr>
        <w:pStyle w:val="Heading2"/>
      </w:pPr>
      <w:r>
        <w:t xml:space="preserve">Stock-synthesis 3</w:t>
      </w:r>
    </w:p>
    <w:p>
      <w:pPr>
        <w:pStyle w:val="FirstParagraph"/>
      </w:pPr>
      <w:r>
        <w:t xml:space="preserve">Stock synthesis 3 (SS3) is a well establish framework and is common in many diverse</w:t>
      </w:r>
      <w:r>
        <w:t xml:space="preserve"> </w:t>
      </w:r>
      <w:r>
        <w:t xml:space="preserve">settings. (</w:t>
      </w:r>
      <w:r>
        <w:t xml:space="preserve">Methot and Wetzel (2013)</w:t>
      </w:r>
      <w:r>
        <w:t xml:space="preserve">) For EBS pollock, we extended an initial framework based on the</w:t>
      </w:r>
      <w:r>
        <w:t xml:space="preserve"> </w:t>
      </w:r>
      <w:r>
        <w:t xml:space="preserve">configurations used for Pacific hake (</w:t>
      </w:r>
      <w:r>
        <w:t xml:space="preserve">Grandin et al. (2024)</w:t>
      </w:r>
      <w:r>
        <w:t xml:space="preserve">) since there are many similarities in the</w:t>
      </w:r>
      <w:r>
        <w:t xml:space="preserve"> </w:t>
      </w:r>
      <w:r>
        <w:t xml:space="preserve">type of data available. Namely, empirical weight-at-age, acoustic survey data, and indices</w:t>
      </w:r>
      <w:r>
        <w:t xml:space="preserve"> </w:t>
      </w:r>
      <w:r>
        <w:t xml:space="preserve">of 1-year olds.</w:t>
      </w:r>
    </w:p>
    <w:p>
      <w:pPr>
        <w:pStyle w:val="BodyText"/>
      </w:pPr>
      <w:r>
        <w:t xml:space="preserve">Within the SS3 framework, we evaluated different configurations for fishery selectivity</w:t>
      </w:r>
      <w:r>
        <w:t xml:space="preserve"> </w:t>
      </w:r>
      <w:r>
        <w:t xml:space="preserve">variability (</w:t>
      </w:r>
      <w:hyperlink w:anchor="fig-ss3">
        <w:r>
          <w:rPr>
            <w:rStyle w:val="Hyperlink"/>
          </w:rPr>
          <w:t xml:space="preserve">Figure 21</w:t>
        </w:r>
      </w:hyperlink>
      <w:r>
        <w:t xml:space="preserve">). These showed the impact on the uncertainty and stock trends</w:t>
      </w:r>
      <w:r>
        <w:t xml:space="preserve"> </w:t>
      </w:r>
      <w:r>
        <w:t xml:space="preserve">(</w:t>
      </w:r>
      <w:hyperlink w:anchor="fig-synts-1">
        <w:r>
          <w:rPr>
            <w:rStyle w:val="Hyperlink"/>
          </w:rPr>
          <w:t xml:space="preserve">Figure 22</w:t>
        </w:r>
      </w:hyperlink>
      <w:r>
        <w:t xml:space="preserve"> </w:t>
      </w:r>
      <w:r>
        <w:t xml:space="preserve">for SSB and</w:t>
      </w:r>
      <w:r>
        <w:t xml:space="preserve"> </w:t>
      </w:r>
      <w:hyperlink w:anchor="fig-synts-2">
        <w:r>
          <w:rPr>
            <w:rStyle w:val="Hyperlink"/>
          </w:rPr>
          <w:t xml:space="preserve">Figure 23</w:t>
        </w:r>
      </w:hyperlink>
      <w:r>
        <w:t xml:space="preserve"> </w:t>
      </w:r>
      <w:r>
        <w:t xml:space="preserve">for recruitment).</w:t>
      </w:r>
    </w:p>
    <w:tbl>
      <w:tblPr>
        <w:tblStyle w:val="Table"/>
        <w:tblW w:type="pct" w:w="5000"/>
        <w:tblLayout w:type="fixed"/>
        <w:tblLook w:firstRow="0" w:lastRow="0" w:firstColumn="0" w:lastColumn="0" w:noHBand="0" w:noVBand="0" w:val="0000"/>
      </w:tblPr>
      <w:tblGrid>
        <w:gridCol w:w="7920"/>
      </w:tblGrid>
      <w:tr>
        <w:tc>
          <w:tcPr/>
          <w:bookmarkStart w:id="122" w:name="fig-ss3"/>
          <w:p>
            <w:pPr>
              <w:pStyle w:val="Compact"/>
              <w:jc w:val="center"/>
            </w:pPr>
            <w:r>
              <w:drawing>
                <wp:inline>
                  <wp:extent cx="5334000" cy="4267200"/>
                  <wp:effectExtent b="0" l="0" r="0" t="0"/>
                  <wp:docPr descr="" title="" id="120" name="Picture"/>
                  <a:graphic>
                    <a:graphicData uri="http://schemas.openxmlformats.org/drawingml/2006/picture">
                      <pic:pic>
                        <pic:nvPicPr>
                          <pic:cNvPr descr="CIE_files/figure-docx/fig-ss3-1.png" id="121" name="Picture"/>
                          <pic:cNvPicPr>
                            <a:picLocks noChangeArrowheads="1" noChangeAspect="1"/>
                          </pic:cNvPicPr>
                        </pic:nvPicPr>
                        <pic:blipFill>
                          <a:blip r:embed="rId119"/>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21: Model results comparing three different SS3 model configurations. The models are the base model (Base), the constrained model (Constrained), and the flexible model (Flexible).</w:t>
            </w:r>
          </w:p>
          <w:bookmarkEnd w:id="122"/>
        </w:tc>
      </w:tr>
    </w:tbl>
    <w:tbl>
      <w:tblPr>
        <w:tblStyle w:val="Table"/>
        <w:tblW w:type="pct" w:w="5000"/>
        <w:tblLayout w:type="fixed"/>
        <w:tblLook w:firstRow="0" w:lastRow="0" w:firstColumn="0" w:lastColumn="0" w:noHBand="0" w:noVBand="0" w:val="0000"/>
      </w:tblPr>
      <w:tblGrid>
        <w:gridCol w:w="7920"/>
      </w:tblGrid>
      <w:tr>
        <w:tc>
          <w:tcPr/>
          <w:bookmarkStart w:id="126" w:name="fig-synts-1"/>
          <w:p>
            <w:pPr>
              <w:pStyle w:val="Compact"/>
              <w:jc w:val="center"/>
            </w:pPr>
            <w:r>
              <w:drawing>
                <wp:inline>
                  <wp:extent cx="5334000" cy="4267200"/>
                  <wp:effectExtent b="0" l="0" r="0" t="0"/>
                  <wp:docPr descr="" title="" id="124" name="Picture"/>
                  <a:graphic>
                    <a:graphicData uri="http://schemas.openxmlformats.org/drawingml/2006/picture">
                      <pic:pic>
                        <pic:nvPicPr>
                          <pic:cNvPr descr="CIE_files/figure-docx/fig-synts-1.png" id="125" name="Picture"/>
                          <pic:cNvPicPr>
                            <a:picLocks noChangeArrowheads="1" noChangeAspect="1"/>
                          </pic:cNvPicPr>
                        </pic:nvPicPr>
                        <pic:blipFill>
                          <a:blip r:embed="rId123"/>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22: Model results comparing the time-series for three different SS3 model configurations. The models are the base model (Base), the constrained model (Constrained), and the flexible model (Flexible).</w:t>
            </w:r>
          </w:p>
          <w:bookmarkEnd w:id="126"/>
        </w:tc>
      </w:tr>
    </w:tbl>
    <w:tbl>
      <w:tblPr>
        <w:tblStyle w:val="Table"/>
        <w:tblW w:type="pct" w:w="5000"/>
        <w:tblLayout w:type="fixed"/>
        <w:tblLook w:firstRow="0" w:lastRow="0" w:firstColumn="0" w:lastColumn="0" w:noHBand="0" w:noVBand="0" w:val="0000"/>
      </w:tblPr>
      <w:tblGrid>
        <w:gridCol w:w="7920"/>
      </w:tblGrid>
      <w:tr>
        <w:tc>
          <w:tcPr/>
          <w:bookmarkStart w:id="130" w:name="fig-synts-2"/>
          <w:p>
            <w:pPr>
              <w:pStyle w:val="Compact"/>
              <w:jc w:val="center"/>
            </w:pPr>
            <w:r>
              <w:drawing>
                <wp:inline>
                  <wp:extent cx="5334000" cy="4267200"/>
                  <wp:effectExtent b="0" l="0" r="0" t="0"/>
                  <wp:docPr descr="" title="" id="128" name="Picture"/>
                  <a:graphic>
                    <a:graphicData uri="http://schemas.openxmlformats.org/drawingml/2006/picture">
                      <pic:pic>
                        <pic:nvPicPr>
                          <pic:cNvPr descr="CIE_files/figure-docx/fig-synts-2.png" id="129" name="Picture"/>
                          <pic:cNvPicPr>
                            <a:picLocks noChangeArrowheads="1" noChangeAspect="1"/>
                          </pic:cNvPicPr>
                        </pic:nvPicPr>
                        <pic:blipFill>
                          <a:blip r:embed="rId127"/>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23: Model results comparing the time-series for three different SS3 model configurations. The models are the base model (Base), the constrained model (Constrained), and the flexible model (Flexible).</w:t>
            </w:r>
          </w:p>
          <w:bookmarkEnd w:id="130"/>
        </w:tc>
      </w:tr>
    </w:tbl>
    <w:p>
      <w:pPr>
        <w:pStyle w:val="BodyText"/>
      </w:pPr>
      <w:r>
        <w:t xml:space="preserve">Comparing the</w:t>
      </w:r>
      <w:r>
        <w:t xml:space="preserve"> </w:t>
      </w:r>
      <w:r>
        <w:t xml:space="preserve">“base”</w:t>
      </w:r>
      <w:r>
        <w:t xml:space="preserve"> </w:t>
      </w:r>
      <w:r>
        <w:t xml:space="preserve">SS3 model with the pollock model showed different patterns in the</w:t>
      </w:r>
      <w:r>
        <w:t xml:space="preserve"> </w:t>
      </w:r>
      <w:r>
        <w:t xml:space="preserve">early periods for selectivity (</w:t>
      </w:r>
      <w:hyperlink w:anchor="fig-ss3vpmsel">
        <w:r>
          <w:rPr>
            <w:rStyle w:val="Hyperlink"/>
          </w:rPr>
          <w:t xml:space="preserve">Figure 24</w:t>
        </w:r>
      </w:hyperlink>
      <w:r>
        <w:t xml:space="preserve">) but slight differences in SSB and</w:t>
      </w:r>
      <w:r>
        <w:t xml:space="preserve"> </w:t>
      </w:r>
      <w:r>
        <w:t xml:space="preserve">recruitment estimates (</w:t>
      </w:r>
      <w:hyperlink w:anchor="fig-pmvss3-1">
        <w:r>
          <w:rPr>
            <w:rStyle w:val="Hyperlink"/>
          </w:rPr>
          <w:t xml:space="preserve">Figure 25</w:t>
        </w:r>
      </w:hyperlink>
      <w:r>
        <w:t xml:space="preserve"> </w:t>
      </w:r>
      <w:r>
        <w:t xml:space="preserve">and</w:t>
      </w:r>
      <w:r>
        <w:t xml:space="preserve"> </w:t>
      </w:r>
      <w:hyperlink w:anchor="fig-pmvss3-2">
        <w:r>
          <w:rPr>
            <w:rStyle w:val="Hyperlink"/>
          </w:rPr>
          <w:t xml:space="preserve">Figure 26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34" w:name="fig-ss3vpmsel"/>
          <w:p>
            <w:pPr>
              <w:pStyle w:val="Compact"/>
              <w:jc w:val="center"/>
            </w:pPr>
            <w:r>
              <w:drawing>
                <wp:inline>
                  <wp:extent cx="5334000" cy="4267200"/>
                  <wp:effectExtent b="0" l="0" r="0" t="0"/>
                  <wp:docPr descr="" title="" id="132" name="Picture"/>
                  <a:graphic>
                    <a:graphicData uri="http://schemas.openxmlformats.org/drawingml/2006/picture">
                      <pic:pic>
                        <pic:nvPicPr>
                          <pic:cNvPr descr="CIE_files/figure-docx/fig-ss3vpmsel-1.png" id="133" name="Picture"/>
                          <pic:cNvPicPr>
                            <a:picLocks noChangeArrowheads="1" noChangeAspect="1"/>
                          </pic:cNvPicPr>
                        </pic:nvPicPr>
                        <pic:blipFill>
                          <a:blip r:embed="rId131"/>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24: Model results comparing selectivity estimates between the base SS3 model configuration and the pollock model accepted in 2024.</w:t>
            </w:r>
          </w:p>
          <w:bookmarkEnd w:id="134"/>
        </w:tc>
      </w:tr>
    </w:tbl>
    <w:tbl>
      <w:tblPr>
        <w:tblStyle w:val="Table"/>
        <w:tblW w:type="pct" w:w="5000"/>
        <w:tblLayout w:type="fixed"/>
        <w:tblLook w:firstRow="0" w:lastRow="0" w:firstColumn="0" w:lastColumn="0" w:noHBand="0" w:noVBand="0" w:val="0000"/>
      </w:tblPr>
      <w:tblGrid>
        <w:gridCol w:w="7920"/>
      </w:tblGrid>
      <w:tr>
        <w:tc>
          <w:tcPr/>
          <w:bookmarkStart w:id="138" w:name="fig-pmvss3-1"/>
          <w:p>
            <w:pPr>
              <w:pStyle w:val="Compact"/>
              <w:jc w:val="center"/>
            </w:pPr>
            <w:r>
              <w:drawing>
                <wp:inline>
                  <wp:extent cx="5334000" cy="4267200"/>
                  <wp:effectExtent b="0" l="0" r="0" t="0"/>
                  <wp:docPr descr="" title="" id="136" name="Picture"/>
                  <a:graphic>
                    <a:graphicData uri="http://schemas.openxmlformats.org/drawingml/2006/picture">
                      <pic:pic>
                        <pic:nvPicPr>
                          <pic:cNvPr descr="CIE_files/figure-docx/fig-pmvss3-1.png" id="137" name="Picture"/>
                          <pic:cNvPicPr>
                            <a:picLocks noChangeArrowheads="1" noChangeAspect="1"/>
                          </pic:cNvPicPr>
                        </pic:nvPicPr>
                        <pic:blipFill>
                          <a:blip r:embed="rId135"/>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25: Model results comparing the base SS3 model configuration with the model used for pollock in 2024.</w:t>
            </w:r>
          </w:p>
          <w:bookmarkEnd w:id="138"/>
        </w:tc>
      </w:tr>
    </w:tbl>
    <w:tbl>
      <w:tblPr>
        <w:tblStyle w:val="Table"/>
        <w:tblW w:type="pct" w:w="5000"/>
        <w:tblLayout w:type="fixed"/>
        <w:tblLook w:firstRow="0" w:lastRow="0" w:firstColumn="0" w:lastColumn="0" w:noHBand="0" w:noVBand="0" w:val="0000"/>
      </w:tblPr>
      <w:tblGrid>
        <w:gridCol w:w="7920"/>
      </w:tblGrid>
      <w:tr>
        <w:tc>
          <w:tcPr/>
          <w:bookmarkStart w:id="142" w:name="fig-pmvss3-2"/>
          <w:p>
            <w:pPr>
              <w:pStyle w:val="Compact"/>
              <w:jc w:val="center"/>
            </w:pPr>
            <w:r>
              <w:drawing>
                <wp:inline>
                  <wp:extent cx="5334000" cy="4267200"/>
                  <wp:effectExtent b="0" l="0" r="0" t="0"/>
                  <wp:docPr descr="" title="" id="140" name="Picture"/>
                  <a:graphic>
                    <a:graphicData uri="http://schemas.openxmlformats.org/drawingml/2006/picture">
                      <pic:pic>
                        <pic:nvPicPr>
                          <pic:cNvPr descr="CIE_files/figure-docx/fig-pmvss3-2.png" id="141" name="Picture"/>
                          <pic:cNvPicPr>
                            <a:picLocks noChangeArrowheads="1" noChangeAspect="1"/>
                          </pic:cNvPicPr>
                        </pic:nvPicPr>
                        <pic:blipFill>
                          <a:blip r:embed="rId139"/>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26: Model results comparing the base SS3 model configuration with the model used for pollock in 2024.</w:t>
            </w:r>
          </w:p>
          <w:bookmarkEnd w:id="142"/>
        </w:tc>
      </w:tr>
    </w:tbl>
    <w:bookmarkEnd w:id="143"/>
    <w:bookmarkStart w:id="158" w:name="sam"/>
    <w:p>
      <w:pPr>
        <w:pStyle w:val="Heading2"/>
      </w:pPr>
      <w:r>
        <w:t xml:space="preserve">SAM</w:t>
      </w:r>
    </w:p>
    <w:p>
      <w:pPr>
        <w:pStyle w:val="FirstParagraph"/>
      </w:pPr>
      <w:r>
        <w:t xml:space="preserve">The Stock Assessment Model (SAM) is a state-space model written in TMB (</w:t>
      </w:r>
      <w:r>
        <w:t xml:space="preserve">Nielsen and Berg (2014)</w:t>
      </w:r>
      <w:r>
        <w:t xml:space="preserve">,</w:t>
      </w:r>
      <w:r>
        <w:t xml:space="preserve"> </w:t>
      </w:r>
      <w:r>
        <w:t xml:space="preserve">Nielsen et al. (2021)</w:t>
      </w:r>
      <w:r>
        <w:t xml:space="preserve">). We attempted to configure the settings to have similar levels of</w:t>
      </w:r>
      <w:r>
        <w:t xml:space="preserve"> </w:t>
      </w:r>
      <w:r>
        <w:t xml:space="preserve">flexibility to the reference model used for catch advice in 2024 and the settings and</w:t>
      </w:r>
      <w:r>
        <w:t xml:space="preserve"> </w:t>
      </w:r>
      <w:r>
        <w:t xml:space="preserve">results can be found</w:t>
      </w:r>
      <w:r>
        <w:t xml:space="preserve"> </w:t>
      </w:r>
      <w:hyperlink r:id="rId144">
        <w:r>
          <w:rPr>
            <w:rStyle w:val="Hyperlink"/>
          </w:rPr>
          <w:t xml:space="preserve">here</w:t>
        </w:r>
      </w:hyperlink>
      <w:r>
        <w:t xml:space="preserve">).</w:t>
      </w:r>
      <w:r>
        <w:t xml:space="preserve"> </w:t>
      </w:r>
      <w:r>
        <w:t xml:space="preserve">Comparing</w:t>
      </w:r>
      <w:r>
        <w:t xml:space="preserve"> </w:t>
      </w:r>
      <w:r>
        <w:t xml:space="preserve">“selectivity”</w:t>
      </w:r>
      <w:r>
        <w:t xml:space="preserve"> </w:t>
      </w:r>
      <w:r>
        <w:t xml:space="preserve">in the SAM model to the reference model, we see broad similarities</w:t>
      </w:r>
      <w:r>
        <w:t xml:space="preserve"> </w:t>
      </w:r>
      <w:r>
        <w:t xml:space="preserve">but slightly lower inter-annual variability in the SAM run (</w:t>
      </w:r>
      <w:hyperlink w:anchor="fig-sam">
        <w:r>
          <w:rPr>
            <w:rStyle w:val="Hyperlink"/>
          </w:rPr>
          <w:t xml:space="preserve">Figure 27</w:t>
        </w:r>
      </w:hyperlink>
      <w:r>
        <w:t xml:space="preserve">).</w:t>
      </w:r>
      <w:r>
        <w:t xml:space="preserve"> </w:t>
      </w:r>
      <w:r>
        <w:t xml:space="preserve">The spawning biomass trend largely overlaps in the uncertainty between the SAM and pollock</w:t>
      </w:r>
      <w:r>
        <w:t xml:space="preserve"> </w:t>
      </w:r>
      <w:r>
        <w:t xml:space="preserve">model (</w:t>
      </w:r>
      <w:hyperlink w:anchor="fig-samts-1">
        <w:r>
          <w:rPr>
            <w:rStyle w:val="Hyperlink"/>
          </w:rPr>
          <w:t xml:space="preserve">Figure 28 (a)</w:t>
        </w:r>
      </w:hyperlink>
      <w:r>
        <w:t xml:space="preserve">). The recruitment estimates are similar as well (</w:t>
      </w:r>
      <w:hyperlink w:anchor="fig-samts-2">
        <w:r>
          <w:rPr>
            <w:rStyle w:val="Hyperlink"/>
          </w:rPr>
          <w:t xml:space="preserve">Figure 28 (b)</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48" w:name="fig-sam"/>
          <w:p>
            <w:pPr>
              <w:pStyle w:val="Compact"/>
              <w:jc w:val="center"/>
            </w:pPr>
            <w:r>
              <w:drawing>
                <wp:inline>
                  <wp:extent cx="5334000" cy="4267200"/>
                  <wp:effectExtent b="0" l="0" r="0" t="0"/>
                  <wp:docPr descr="" title="" id="146" name="Picture"/>
                  <a:graphic>
                    <a:graphicData uri="http://schemas.openxmlformats.org/drawingml/2006/picture">
                      <pic:pic>
                        <pic:nvPicPr>
                          <pic:cNvPr descr="CIE_files/figure-docx/fig-sam-1.png" id="147" name="Picture"/>
                          <pic:cNvPicPr>
                            <a:picLocks noChangeArrowheads="1" noChangeAspect="1"/>
                          </pic:cNvPicPr>
                        </pic:nvPicPr>
                        <pic:blipFill>
                          <a:blip r:embed="rId145"/>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27: Model results comparing last year’s model with the SAM model.</w:t>
            </w:r>
          </w:p>
          <w:bookmarkEnd w:id="148"/>
        </w:tc>
      </w:tr>
    </w:tbl>
    <w:tbl>
      <w:tblPr>
        <w:tblStyle w:val="Table"/>
        <w:tblW w:type="pct" w:w="5000"/>
        <w:tblLayout w:type="fixed"/>
        <w:tblLook w:firstRow="0" w:lastRow="0" w:firstColumn="0" w:lastColumn="0" w:noHBand="0" w:noVBand="0" w:val="0000"/>
      </w:tblPr>
      <w:tblGrid>
        <w:gridCol w:w="7920"/>
      </w:tblGrid>
      <w:tr>
        <w:tc>
          <w:tcPr/>
          <w:bookmarkStart w:id="157" w:name="fig-samts"/>
          <w:tbl>
            <w:tblPr>
              <w:tblStyle w:val="Table"/>
              <w:tblW w:type="pct" w:w="5000"/>
              <w:tblLayout w:type="fixed"/>
              <w:tblLook w:firstRow="0" w:lastRow="0" w:firstColumn="0" w:lastColumn="0" w:noHBand="0" w:noVBand="0" w:val="0000"/>
            </w:tblPr>
            <w:tblGrid>
              <w:gridCol w:w="7920"/>
            </w:tblGrid>
            <w:tr>
              <w:tc>
                <w:tcPr/>
                <w:bookmarkStart w:id="152" w:name="fig-samts-1"/>
                <w:p>
                  <w:pPr>
                    <w:pStyle w:val="Compact"/>
                    <w:jc w:val="center"/>
                    <w:jc w:val="center"/>
                  </w:pPr>
                  <w:r>
                    <w:drawing>
                      <wp:inline>
                        <wp:extent cx="5334000" cy="4000500"/>
                        <wp:effectExtent b="0" l="0" r="0" t="0"/>
                        <wp:docPr descr="" title="" id="150" name="Picture"/>
                        <a:graphic>
                          <a:graphicData uri="http://schemas.openxmlformats.org/drawingml/2006/picture">
                            <pic:pic>
                              <pic:nvPicPr>
                                <pic:cNvPr descr="CIE_files/figure-docx/fig-samts-1.png" id="151" name="Picture"/>
                                <pic:cNvPicPr>
                                  <a:picLocks noChangeArrowheads="1" noChangeAspect="1"/>
                                </pic:cNvPicPr>
                              </pic:nvPicPr>
                              <pic:blipFill>
                                <a:blip r:embed="rId149"/>
                                <a:stretch>
                                  <a:fillRect/>
                                </a:stretch>
                              </pic:blipFill>
                              <pic:spPr bwMode="auto">
                                <a:xfrm>
                                  <a:off x="0" y="0"/>
                                  <a:ext cx="5334000" cy="4000500"/>
                                </a:xfrm>
                                <a:prstGeom prst="rect">
                                  <a:avLst/>
                                </a:prstGeom>
                                <a:noFill/>
                                <a:ln w="9525">
                                  <a:noFill/>
                                  <a:headEnd/>
                                  <a:tailEnd/>
                                </a:ln>
                              </pic:spPr>
                            </pic:pic>
                          </a:graphicData>
                        </a:graphic>
                      </wp:inline>
                    </w:drawing>
                  </w:r>
                </w:p>
                <w:p>
                  <w:pPr>
                    <w:jc w:val="center"/>
                    <w:jc w:val="center"/>
                  </w:pPr>
                  <w:pPr>
                    <w:jc w:val="start"/>
                    <w:spacing w:before="200"/>
                    <w:pStyle w:val="ImageCaption"/>
                  </w:pPr>
                  <w:r>
                    <w:t xml:space="preserve">(a) Spawning biomass comparison of the 2024 assessment and SAM estimates.</w:t>
                  </w:r>
                </w:p>
                <w:bookmarkEnd w:id="152"/>
              </w:tc>
            </w:tr>
          </w:tbl>
          <w:tbl>
            <w:tblPr>
              <w:tblStyle w:val="Table"/>
              <w:tblW w:type="pct" w:w="5000"/>
              <w:tblLayout w:type="fixed"/>
              <w:tblLook w:firstRow="0" w:lastRow="0" w:firstColumn="0" w:lastColumn="0" w:noHBand="0" w:noVBand="0" w:val="0000"/>
            </w:tblPr>
            <w:tblGrid>
              <w:gridCol w:w="7920"/>
            </w:tblGrid>
            <w:tr>
              <w:tc>
                <w:tcPr/>
                <w:bookmarkStart w:id="156" w:name="fig-samts-2"/>
                <w:p>
                  <w:pPr>
                    <w:pStyle w:val="Compact"/>
                    <w:jc w:val="center"/>
                    <w:jc w:val="center"/>
                  </w:pPr>
                  <w:r>
                    <w:drawing>
                      <wp:inline>
                        <wp:extent cx="5334000" cy="4000500"/>
                        <wp:effectExtent b="0" l="0" r="0" t="0"/>
                        <wp:docPr descr="" title="" id="154" name="Picture"/>
                        <a:graphic>
                          <a:graphicData uri="http://schemas.openxmlformats.org/drawingml/2006/picture">
                            <pic:pic>
                              <pic:nvPicPr>
                                <pic:cNvPr descr="CIE_files/figure-docx/fig-samts-2.png" id="155" name="Picture"/>
                                <pic:cNvPicPr>
                                  <a:picLocks noChangeArrowheads="1" noChangeAspect="1"/>
                                </pic:cNvPicPr>
                              </pic:nvPicPr>
                              <pic:blipFill>
                                <a:blip r:embed="rId153"/>
                                <a:stretch>
                                  <a:fillRect/>
                                </a:stretch>
                              </pic:blipFill>
                              <pic:spPr bwMode="auto">
                                <a:xfrm>
                                  <a:off x="0" y="0"/>
                                  <a:ext cx="5334000" cy="4000500"/>
                                </a:xfrm>
                                <a:prstGeom prst="rect">
                                  <a:avLst/>
                                </a:prstGeom>
                                <a:noFill/>
                                <a:ln w="9525">
                                  <a:noFill/>
                                  <a:headEnd/>
                                  <a:tailEnd/>
                                </a:ln>
                              </pic:spPr>
                            </pic:pic>
                          </a:graphicData>
                        </a:graphic>
                      </wp:inline>
                    </w:drawing>
                  </w:r>
                </w:p>
                <w:p>
                  <w:pPr>
                    <w:jc w:val="center"/>
                    <w:jc w:val="center"/>
                  </w:pPr>
                  <w:pPr>
                    <w:jc w:val="start"/>
                    <w:spacing w:before="200"/>
                    <w:pStyle w:val="ImageCaption"/>
                  </w:pPr>
                  <w:r>
                    <w:t xml:space="preserve">(b) Age-1 recruitment comparison of the 2024 assessment and SAM estimates.</w:t>
                  </w:r>
                </w:p>
                <w:bookmarkEnd w:id="156"/>
              </w:tc>
            </w:tr>
          </w:tbl>
          <w:p>
            <w:pPr>
              <w:jc w:val="center"/>
            </w:pPr>
            <w:pPr>
              <w:jc w:val="start"/>
              <w:spacing w:before="200"/>
              <w:pStyle w:val="ImageCaption"/>
            </w:pPr>
            <w:r>
              <w:t xml:space="preserve">Figure 28: Model results comparing last year’s model with the SAM model.</w:t>
            </w:r>
          </w:p>
          <w:bookmarkEnd w:id="157"/>
        </w:tc>
      </w:tr>
    </w:tbl>
    <w:bookmarkEnd w:id="158"/>
    <w:bookmarkStart w:id="168" w:name="other-models-in-development"/>
    <w:p>
      <w:pPr>
        <w:pStyle w:val="Heading2"/>
      </w:pPr>
      <w:r>
        <w:t xml:space="preserve">Other models in development</w:t>
      </w:r>
    </w:p>
    <w:p>
      <w:pPr>
        <w:pStyle w:val="FirstParagraph"/>
      </w:pPr>
      <w:r>
        <w:t xml:space="preserve">The</w:t>
      </w:r>
      <w:r>
        <w:t xml:space="preserve"> </w:t>
      </w:r>
      <w:r>
        <w:t xml:space="preserve">“Woods Hole Assessment model”</w:t>
      </w:r>
      <w:r>
        <w:t xml:space="preserve"> </w:t>
      </w:r>
      <w:r>
        <w:t xml:space="preserve">(WHAM) is written in TMB and is a fully state-space</w:t>
      </w:r>
      <w:r>
        <w:t xml:space="preserve"> </w:t>
      </w:r>
      <w:r>
        <w:t xml:space="preserve">model (</w:t>
      </w:r>
      <w:r>
        <w:t xml:space="preserve">Stock and Miller (2021)</w:t>
      </w:r>
      <w:r>
        <w:t xml:space="preserve">). Initial trials are available on the</w:t>
      </w:r>
      <w:r>
        <w:t xml:space="preserve"> </w:t>
      </w:r>
      <w:hyperlink r:id="rId159">
        <w:r>
          <w:rPr>
            <w:rStyle w:val="Hyperlink"/>
          </w:rPr>
          <w:t xml:space="preserve">github</w:t>
        </w:r>
        <w:r>
          <w:rPr>
            <w:rStyle w:val="Hyperlink"/>
          </w:rPr>
          <w:t xml:space="preserve"> </w:t>
        </w:r>
        <w:r>
          <w:rPr>
            <w:rStyle w:val="Hyperlink"/>
          </w:rPr>
          <w:t xml:space="preserve">repository</w:t>
        </w:r>
      </w:hyperlink>
      <w:r>
        <w:t xml:space="preserve">. We abandoned</w:t>
      </w:r>
      <w:r>
        <w:t xml:space="preserve"> </w:t>
      </w:r>
      <w:r>
        <w:t xml:space="preserve">this effort given difficulties in some aspects of specifications and time constraints.</w:t>
      </w:r>
    </w:p>
    <w:p>
      <w:pPr>
        <w:pStyle w:val="BodyText"/>
      </w:pPr>
      <w:r>
        <w:t xml:space="preserve">The Rceattle model is developed by the AFSC and is written in TMB (</w:t>
      </w:r>
      <w:r>
        <w:t xml:space="preserve">Adams et al. (2022)</w:t>
      </w:r>
      <w:r>
        <w:t xml:space="preserve">). The model</w:t>
      </w:r>
      <w:r>
        <w:t xml:space="preserve"> </w:t>
      </w:r>
      <w:r>
        <w:t xml:space="preserve">is an extension of the ADMB version used for multi-species model in the Eastern Bering Sea</w:t>
      </w:r>
      <w:r>
        <w:t xml:space="preserve"> </w:t>
      </w:r>
      <w:r>
        <w:t xml:space="preserve">(</w:t>
      </w:r>
      <w:r>
        <w:t xml:space="preserve">Jurado-Molina, Livingston, and Ianelli (2005)</w:t>
      </w:r>
      <w:r>
        <w:t xml:space="preserve">,</w:t>
      </w:r>
      <w:r>
        <w:t xml:space="preserve"> </w:t>
      </w:r>
      <w:r>
        <w:t xml:space="preserve">Holsman et al. (2024)</w:t>
      </w:r>
      <w:r>
        <w:t xml:space="preserve">) and has a number of newer features. It is flexible enough to</w:t>
      </w:r>
      <w:r>
        <w:t xml:space="preserve"> </w:t>
      </w:r>
      <w:r>
        <w:t xml:space="preserve">include a variety of data types using lengths and can be set up for species tracked for</w:t>
      </w:r>
      <w:r>
        <w:t xml:space="preserve"> </w:t>
      </w:r>
      <w:r>
        <w:t xml:space="preserve">sexually dimorphic growth and other processes. Since it has been recast into TMB, it allows</w:t>
      </w:r>
      <w:r>
        <w:t xml:space="preserve"> </w:t>
      </w:r>
      <w:r>
        <w:t xml:space="preserve">for the ability to specify random effects in a number of processes. One development of the</w:t>
      </w:r>
      <w:r>
        <w:t xml:space="preserve"> </w:t>
      </w:r>
      <w:r>
        <w:t xml:space="preserve">model is to have the flexibility to bridge among extant single-species modeling platforms</w:t>
      </w:r>
      <w:r>
        <w:t xml:space="preserve"> </w:t>
      </w:r>
      <w:r>
        <w:t xml:space="preserve">by using it in</w:t>
      </w:r>
      <w:r>
        <w:t xml:space="preserve"> </w:t>
      </w:r>
      <w:r>
        <w:t xml:space="preserve">“single-species”</w:t>
      </w:r>
      <w:r>
        <w:t xml:space="preserve"> </w:t>
      </w:r>
      <w:r>
        <w:t xml:space="preserve">mode. To illustrate that, we introduce an application of</w:t>
      </w:r>
      <w:r>
        <w:t xml:space="preserve"> </w:t>
      </w:r>
      <w:r>
        <w:t xml:space="preserve">Rceattle to the EBS pollock data set. The model is still under development, but we present</w:t>
      </w:r>
      <w:r>
        <w:t xml:space="preserve"> </w:t>
      </w:r>
      <w:r>
        <w:t xml:space="preserve">preliminary results for consideration. Initial runs are favorable and we were able to have</w:t>
      </w:r>
      <w:r>
        <w:t xml:space="preserve"> </w:t>
      </w:r>
      <w:r>
        <w:t xml:space="preserve">time-varying selectivity treated as fixed-effects (meaning penalty weights pre-specified) but</w:t>
      </w:r>
      <w:r>
        <w:t xml:space="preserve"> </w:t>
      </w:r>
      <w:r>
        <w:t xml:space="preserve">also with them specified as random effects (with the penalty</w:t>
      </w:r>
      <w:r>
        <w:t xml:space="preserve"> </w:t>
      </w:r>
      <w:r>
        <w:t xml:space="preserve">“variances”</w:t>
      </w:r>
      <w:r>
        <w:t xml:space="preserve"> </w:t>
      </w:r>
      <w:r>
        <w:t xml:space="preserve">estimated</w:t>
      </w:r>
      <w:r>
        <w:t xml:space="preserve"> </w:t>
      </w:r>
      <w:r>
        <w:t xml:space="preserve">(</w:t>
      </w:r>
      <w:hyperlink w:anchor="fig-rceattle_sel">
        <w:r>
          <w:rPr>
            <w:rStyle w:val="Hyperlink"/>
          </w:rPr>
          <w:t xml:space="preserve">Figure 29</w:t>
        </w:r>
      </w:hyperlink>
      <w:r>
        <w:t xml:space="preserve">). The model estimates of SSB are similar to the 2024 model</w:t>
      </w:r>
      <w:r>
        <w:t xml:space="preserve"> </w:t>
      </w:r>
      <w:r>
        <w:t xml:space="preserve">but more work is needed to understand where differences remain in the model specification</w:t>
      </w:r>
      <w:r>
        <w:t xml:space="preserve"> </w:t>
      </w:r>
      <w:r>
        <w:t xml:space="preserve">(</w:t>
      </w:r>
      <w:hyperlink w:anchor="fig-rceattle_ts">
        <w:r>
          <w:rPr>
            <w:rStyle w:val="Hyperlink"/>
          </w:rPr>
          <w:t xml:space="preserve">Figure 30</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63" w:name="fig-rceattle_sel"/>
          <w:p>
            <w:pPr>
              <w:pStyle w:val="Compact"/>
              <w:jc w:val="center"/>
            </w:pPr>
            <w:r>
              <w:drawing>
                <wp:inline>
                  <wp:extent cx="5334000" cy="9601200"/>
                  <wp:effectExtent b="0" l="0" r="0" t="0"/>
                  <wp:docPr descr="" title="" id="161" name="Picture"/>
                  <a:graphic>
                    <a:graphicData uri="http://schemas.openxmlformats.org/drawingml/2006/picture">
                      <pic:pic>
                        <pic:nvPicPr>
                          <pic:cNvPr descr="CIE_files/figure-docx/fig-rceattle_sel-1.png" id="162" name="Picture"/>
                          <pic:cNvPicPr>
                            <a:picLocks noChangeArrowheads="1" noChangeAspect="1"/>
                          </pic:cNvPicPr>
                        </pic:nvPicPr>
                        <pic:blipFill>
                          <a:blip r:embed="rId160"/>
                          <a:stretch>
                            <a:fillRect/>
                          </a:stretch>
                        </pic:blipFill>
                        <pic:spPr bwMode="auto">
                          <a:xfrm>
                            <a:off x="0" y="0"/>
                            <a:ext cx="5334000" cy="9601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29: Model selectivity estimates comparing last year’s model with the Rceattle model with fixed-effect time varying fishery selectivity (CEA, FE) and random effects (CEA, RE).</w:t>
            </w:r>
          </w:p>
          <w:bookmarkEnd w:id="163"/>
        </w:tc>
      </w:tr>
    </w:tbl>
    <w:tbl>
      <w:tblPr>
        <w:tblStyle w:val="Table"/>
        <w:tblW w:type="pct" w:w="5000"/>
        <w:tblLayout w:type="fixed"/>
        <w:tblLook w:firstRow="0" w:lastRow="0" w:firstColumn="0" w:lastColumn="0" w:noHBand="0" w:noVBand="0" w:val="0000"/>
      </w:tblPr>
      <w:tblGrid>
        <w:gridCol w:w="7920"/>
      </w:tblGrid>
      <w:tr>
        <w:tc>
          <w:tcPr/>
          <w:bookmarkStart w:id="167" w:name="fig-rceattle_ts"/>
          <w:p>
            <w:pPr>
              <w:pStyle w:val="Compact"/>
              <w:jc w:val="center"/>
            </w:pPr>
            <w:r>
              <w:drawing>
                <wp:inline>
                  <wp:extent cx="5334000" cy="3556000"/>
                  <wp:effectExtent b="0" l="0" r="0" t="0"/>
                  <wp:docPr descr="" title="" id="165" name="Picture"/>
                  <a:graphic>
                    <a:graphicData uri="http://schemas.openxmlformats.org/drawingml/2006/picture">
                      <pic:pic>
                        <pic:nvPicPr>
                          <pic:cNvPr descr="CIE_files/figure-docx/fig-rceattle_ts-1.png" id="166" name="Picture"/>
                          <pic:cNvPicPr>
                            <a:picLocks noChangeArrowheads="1" noChangeAspect="1"/>
                          </pic:cNvPicPr>
                        </pic:nvPicPr>
                        <pic:blipFill>
                          <a:blip r:embed="rId164"/>
                          <a:stretch>
                            <a:fillRect/>
                          </a:stretch>
                        </pic:blipFill>
                        <pic:spPr bwMode="auto">
                          <a:xfrm>
                            <a:off x="0" y="0"/>
                            <a:ext cx="5334000" cy="3556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30: Model estimates of spawning biomass (SSB) comparing last year’s model with the Rceattle model with fixed-effect time varying fishery selectivity (CEA, FE) and random effects (CEA, RE).</w:t>
            </w:r>
          </w:p>
          <w:bookmarkEnd w:id="167"/>
        </w:tc>
      </w:tr>
    </w:tbl>
    <w:bookmarkEnd w:id="168"/>
    <w:bookmarkStart w:id="186" w:name="X32087cd146e8c8deb7daff65d184f624eb645fb"/>
    <w:p>
      <w:pPr>
        <w:pStyle w:val="Heading2"/>
      </w:pPr>
      <w:r>
        <w:t xml:space="preserve">Spatial modeling of the EBS pollock stock</w:t>
      </w:r>
    </w:p>
    <w:p>
      <w:pPr>
        <w:pStyle w:val="FirstParagraph"/>
      </w:pPr>
      <w:r>
        <w:t xml:space="preserve">In development is a spatially disaggregated general model by colleagues at the Auke Bay</w:t>
      </w:r>
      <w:r>
        <w:t xml:space="preserve"> </w:t>
      </w:r>
      <w:r>
        <w:t xml:space="preserve">lab and the University of Alaska, Fairbanks (</w:t>
      </w:r>
      <w:r>
        <w:t xml:space="preserve">M. Cheng (2025)</w:t>
      </w:r>
      <w:r>
        <w:t xml:space="preserve">). This general model which has</w:t>
      </w:r>
      <w:r>
        <w:t xml:space="preserve"> </w:t>
      </w:r>
      <w:r>
        <w:t xml:space="preserve">flexibility to specify regions and a variety of options including random effects. While</w:t>
      </w:r>
      <w:r>
        <w:t xml:space="preserve"> </w:t>
      </w:r>
      <w:r>
        <w:t xml:space="preserve">this model is not yet fully developed, we present preliminary results here. The model is</w:t>
      </w:r>
      <w:r>
        <w:t xml:space="preserve"> </w:t>
      </w:r>
      <w:r>
        <w:t xml:space="preserve">written in RTMB and is similar to the WHAM model. We pursue this to explore the potential</w:t>
      </w:r>
      <w:r>
        <w:t xml:space="preserve"> </w:t>
      </w:r>
      <w:r>
        <w:t xml:space="preserve">for a more flexible model that can be used for more explicit considerations of stocks</w:t>
      </w:r>
      <w:r>
        <w:t xml:space="preserve"> </w:t>
      </w:r>
      <w:r>
        <w:t xml:space="preserve">linked to different regions (e.g., the US and Russian portions of the EBS). Also, this</w:t>
      </w:r>
      <w:r>
        <w:t xml:space="preserve"> </w:t>
      </w:r>
      <w:r>
        <w:t xml:space="preserve">model to add sex-specificity and random effects (</w:t>
      </w:r>
      <w:r>
        <w:t xml:space="preserve">M. L. H. Cheng et al. (2025)</w:t>
      </w:r>
      <w:r>
        <w:t xml:space="preserve">).</w:t>
      </w:r>
    </w:p>
    <w:p>
      <w:pPr>
        <w:pStyle w:val="BodyText"/>
      </w:pPr>
      <w:hyperlink w:anchor="fig-selspock">
        <w:r>
          <w:rPr>
            <w:rStyle w:val="Hyperlink"/>
          </w:rPr>
          <w:t xml:space="preserve">Figure 31</w:t>
        </w:r>
      </w:hyperlink>
      <w:r>
        <w:t xml:space="preserve"> </w:t>
      </w:r>
      <w:r>
        <w:t xml:space="preserve">shows the model results comparing time-varying selectivity whereas</w:t>
      </w:r>
      <w:r>
        <w:t xml:space="preserve"> </w:t>
      </w:r>
      <w:hyperlink w:anchor="fig-spock_ts-1">
        <w:r>
          <w:rPr>
            <w:rStyle w:val="Hyperlink"/>
          </w:rPr>
          <w:t xml:space="preserve">Figure 32</w:t>
        </w:r>
      </w:hyperlink>
      <w:r>
        <w:t xml:space="preserve"> </w:t>
      </w:r>
      <w:r>
        <w:t xml:space="preserve">shows the model results time series. The difference in the age-1 recruits</w:t>
      </w:r>
      <w:r>
        <w:t xml:space="preserve"> </w:t>
      </w:r>
      <w:r>
        <w:t xml:space="preserve">(</w:t>
      </w:r>
      <w:hyperlink w:anchor="fig-spock_ts-2">
        <w:r>
          <w:rPr>
            <w:rStyle w:val="Hyperlink"/>
          </w:rPr>
          <w:t xml:space="preserve">Figure 33</w:t>
        </w:r>
      </w:hyperlink>
      <w:r>
        <w:t xml:space="preserve">) is likely due to the fact that the spatial model currently has constant</w:t>
      </w:r>
      <w:r>
        <w:t xml:space="preserve"> </w:t>
      </w:r>
      <w:r>
        <w:t xml:space="preserve">M-at-age compared to the base model.</w:t>
      </w:r>
    </w:p>
    <w:tbl>
      <w:tblPr>
        <w:tblStyle w:val="Table"/>
        <w:tblW w:type="pct" w:w="5000"/>
        <w:tblLayout w:type="fixed"/>
        <w:tblLook w:firstRow="0" w:lastRow="0" w:firstColumn="0" w:lastColumn="0" w:noHBand="0" w:noVBand="0" w:val="0000"/>
      </w:tblPr>
      <w:tblGrid>
        <w:gridCol w:w="7920"/>
      </w:tblGrid>
      <w:tr>
        <w:tc>
          <w:tcPr/>
          <w:bookmarkStart w:id="177" w:name="fig-selspock"/>
          <w:tbl>
            <w:tblPr>
              <w:tblStyle w:val="Table"/>
              <w:tblW w:type="pct" w:w="5000"/>
              <w:tblLayout w:type="fixed"/>
              <w:tblLook w:firstRow="0" w:lastRow="0" w:firstColumn="0" w:lastColumn="0" w:noHBand="0" w:noVBand="0" w:val="0000"/>
            </w:tblPr>
            <w:tblGrid>
              <w:gridCol w:w="7920"/>
            </w:tblGrid>
            <w:tr>
              <w:tc>
                <w:tcPr/>
                <w:bookmarkStart w:id="172" w:name="fig-selspock-1"/>
                <w:p>
                  <w:pPr>
                    <w:pStyle w:val="Compact"/>
                    <w:jc w:val="center"/>
                    <w:jc w:val="center"/>
                  </w:pPr>
                  <w:r>
                    <w:drawing>
                      <wp:inline>
                        <wp:extent cx="5334000" cy="4267200"/>
                        <wp:effectExtent b="0" l="0" r="0" t="0"/>
                        <wp:docPr descr="" title="" id="170" name="Picture"/>
                        <a:graphic>
                          <a:graphicData uri="http://schemas.openxmlformats.org/drawingml/2006/picture">
                            <pic:pic>
                              <pic:nvPicPr>
                                <pic:cNvPr descr="CIE_files/figure-docx/fig-selspock-1.png" id="171" name="Picture"/>
                                <pic:cNvPicPr>
                                  <a:picLocks noChangeArrowheads="1" noChangeAspect="1"/>
                                </pic:cNvPicPr>
                              </pic:nvPicPr>
                              <pic:blipFill>
                                <a:blip r:embed="rId169"/>
                                <a:stretch>
                                  <a:fillRect/>
                                </a:stretch>
                              </pic:blipFill>
                              <pic:spPr bwMode="auto">
                                <a:xfrm>
                                  <a:off x="0" y="0"/>
                                  <a:ext cx="5334000" cy="4267200"/>
                                </a:xfrm>
                                <a:prstGeom prst="rect">
                                  <a:avLst/>
                                </a:prstGeom>
                                <a:noFill/>
                                <a:ln w="9525">
                                  <a:noFill/>
                                  <a:headEnd/>
                                  <a:tailEnd/>
                                </a:ln>
                              </pic:spPr>
                            </pic:pic>
                          </a:graphicData>
                        </a:graphic>
                      </wp:inline>
                    </w:drawing>
                  </w:r>
                </w:p>
                <w:p>
                  <w:pPr>
                    <w:jc w:val="center"/>
                    <w:jc w:val="center"/>
                  </w:pPr>
                  <w:pPr>
                    <w:jc w:val="start"/>
                    <w:spacing w:before="200"/>
                    <w:pStyle w:val="ImageCaption"/>
                  </w:pPr>
                  <w:r>
                    <w:t xml:space="preserve">(a) Model estimates of selectivity comparing last year’s model with the SPock model.</w:t>
                  </w:r>
                </w:p>
                <w:bookmarkEnd w:id="172"/>
              </w:tc>
            </w:tr>
          </w:tbl>
          <w:tbl>
            <w:tblPr>
              <w:tblStyle w:val="Table"/>
              <w:tblW w:type="pct" w:w="5000"/>
              <w:tblLayout w:type="fixed"/>
              <w:tblLook w:firstRow="0" w:lastRow="0" w:firstColumn="0" w:lastColumn="0" w:noHBand="0" w:noVBand="0" w:val="0000"/>
            </w:tblPr>
            <w:tblGrid>
              <w:gridCol w:w="7920"/>
            </w:tblGrid>
            <w:tr>
              <w:tc>
                <w:tcPr/>
                <w:bookmarkStart w:id="176" w:name="fig-selspock-2"/>
                <w:p>
                  <w:pPr>
                    <w:pStyle w:val="Compact"/>
                    <w:jc w:val="center"/>
                    <w:jc w:val="center"/>
                  </w:pPr>
                  <w:r>
                    <w:drawing>
                      <wp:inline>
                        <wp:extent cx="5334000" cy="4267200"/>
                        <wp:effectExtent b="0" l="0" r="0" t="0"/>
                        <wp:docPr descr="" title="" id="174" name="Picture"/>
                        <a:graphic>
                          <a:graphicData uri="http://schemas.openxmlformats.org/drawingml/2006/picture">
                            <pic:pic>
                              <pic:nvPicPr>
                                <pic:cNvPr descr="CIE_files/figure-docx/fig-selspock-2.png" id="175" name="Picture"/>
                                <pic:cNvPicPr>
                                  <a:picLocks noChangeArrowheads="1" noChangeAspect="1"/>
                                </pic:cNvPicPr>
                              </pic:nvPicPr>
                              <pic:blipFill>
                                <a:blip r:embed="rId173"/>
                                <a:stretch>
                                  <a:fillRect/>
                                </a:stretch>
                              </pic:blipFill>
                              <pic:spPr bwMode="auto">
                                <a:xfrm>
                                  <a:off x="0" y="0"/>
                                  <a:ext cx="5334000" cy="4267200"/>
                                </a:xfrm>
                                <a:prstGeom prst="rect">
                                  <a:avLst/>
                                </a:prstGeom>
                                <a:noFill/>
                                <a:ln w="9525">
                                  <a:noFill/>
                                  <a:headEnd/>
                                  <a:tailEnd/>
                                </a:ln>
                              </pic:spPr>
                            </pic:pic>
                          </a:graphicData>
                        </a:graphic>
                      </wp:inline>
                    </w:drawing>
                  </w:r>
                </w:p>
                <w:p>
                  <w:pPr>
                    <w:jc w:val="center"/>
                    <w:jc w:val="center"/>
                  </w:pPr>
                  <w:pPr>
                    <w:jc w:val="start"/>
                    <w:spacing w:before="200"/>
                    <w:pStyle w:val="ImageCaption"/>
                  </w:pPr>
                  <w:r>
                    <w:t xml:space="preserve">(b) Model estimates of selectivity comparing last year’s model with the SPock model.</w:t>
                  </w:r>
                </w:p>
                <w:bookmarkEnd w:id="176"/>
              </w:tc>
            </w:tr>
          </w:tbl>
          <w:p>
            <w:pPr>
              <w:jc w:val="center"/>
            </w:pPr>
            <w:pPr>
              <w:jc w:val="start"/>
              <w:spacing w:before="200"/>
              <w:pStyle w:val="ImageCaption"/>
            </w:pPr>
            <w:r>
              <w:t xml:space="preserve">Figure 31: Model estimates of selectivity comparing last year’s model with the SPock model.</w:t>
            </w:r>
          </w:p>
          <w:bookmarkEnd w:id="177"/>
        </w:tc>
      </w:tr>
    </w:tbl>
    <w:tbl>
      <w:tblPr>
        <w:tblStyle w:val="Table"/>
        <w:tblW w:type="pct" w:w="5000"/>
        <w:tblLayout w:type="fixed"/>
        <w:tblLook w:firstRow="0" w:lastRow="0" w:firstColumn="0" w:lastColumn="0" w:noHBand="0" w:noVBand="0" w:val="0000"/>
      </w:tblPr>
      <w:tblGrid>
        <w:gridCol w:w="7920"/>
      </w:tblGrid>
      <w:tr>
        <w:tc>
          <w:tcPr/>
          <w:bookmarkStart w:id="181" w:name="fig-spock_ts-1"/>
          <w:p>
            <w:pPr>
              <w:pStyle w:val="Compact"/>
              <w:jc w:val="center"/>
            </w:pPr>
            <w:r>
              <w:drawing>
                <wp:inline>
                  <wp:extent cx="5334000" cy="2667000"/>
                  <wp:effectExtent b="0" l="0" r="0" t="0"/>
                  <wp:docPr descr="" title="" id="179" name="Picture"/>
                  <a:graphic>
                    <a:graphicData uri="http://schemas.openxmlformats.org/drawingml/2006/picture">
                      <pic:pic>
                        <pic:nvPicPr>
                          <pic:cNvPr descr="CIE_files/figure-docx/fig-spock_ts-1.png" id="180" name="Picture"/>
                          <pic:cNvPicPr>
                            <a:picLocks noChangeArrowheads="1" noChangeAspect="1"/>
                          </pic:cNvPicPr>
                        </pic:nvPicPr>
                        <pic:blipFill>
                          <a:blip r:embed="rId178"/>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32: Model results comparing last year’s model with the SPock model.</w:t>
            </w:r>
          </w:p>
          <w:bookmarkEnd w:id="181"/>
        </w:tc>
      </w:tr>
    </w:tbl>
    <w:tbl>
      <w:tblPr>
        <w:tblStyle w:val="Table"/>
        <w:tblW w:type="pct" w:w="5000"/>
        <w:tblLayout w:type="fixed"/>
        <w:tblLook w:firstRow="0" w:lastRow="0" w:firstColumn="0" w:lastColumn="0" w:noHBand="0" w:noVBand="0" w:val="0000"/>
      </w:tblPr>
      <w:tblGrid>
        <w:gridCol w:w="7920"/>
      </w:tblGrid>
      <w:tr>
        <w:tc>
          <w:tcPr/>
          <w:bookmarkStart w:id="185" w:name="fig-spock_ts-2"/>
          <w:p>
            <w:pPr>
              <w:pStyle w:val="Compact"/>
              <w:jc w:val="center"/>
            </w:pPr>
            <w:r>
              <w:drawing>
                <wp:inline>
                  <wp:extent cx="5334000" cy="2667000"/>
                  <wp:effectExtent b="0" l="0" r="0" t="0"/>
                  <wp:docPr descr="" title="" id="183" name="Picture"/>
                  <a:graphic>
                    <a:graphicData uri="http://schemas.openxmlformats.org/drawingml/2006/picture">
                      <pic:pic>
                        <pic:nvPicPr>
                          <pic:cNvPr descr="CIE_files/figure-docx/fig-spock_ts-2.png" id="184" name="Picture"/>
                          <pic:cNvPicPr>
                            <a:picLocks noChangeArrowheads="1" noChangeAspect="1"/>
                          </pic:cNvPicPr>
                        </pic:nvPicPr>
                        <pic:blipFill>
                          <a:blip r:embed="rId182"/>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33: Model results comparing last year’s model with the SPock model.</w:t>
            </w:r>
          </w:p>
          <w:bookmarkEnd w:id="185"/>
        </w:tc>
      </w:tr>
    </w:tbl>
    <w:bookmarkEnd w:id="186"/>
    <w:bookmarkEnd w:id="187"/>
    <w:bookmarkStart w:id="198" w:name="sec-btsmodel"/>
    <w:p>
      <w:pPr>
        <w:pStyle w:val="Heading1"/>
      </w:pPr>
      <w:r>
        <w:t xml:space="preserve">Bottom-trawl survey spatial distribution modeling</w:t>
      </w:r>
    </w:p>
    <w:bookmarkStart w:id="192" w:name="abundance-index-methods"/>
    <w:p>
      <w:pPr>
        <w:pStyle w:val="Heading2"/>
      </w:pPr>
      <w:r>
        <w:t xml:space="preserve">Abundance Index Methods</w:t>
      </w:r>
    </w:p>
    <w:p>
      <w:pPr>
        <w:pStyle w:val="FirstParagraph"/>
      </w:pPr>
      <w:r>
        <w:t xml:space="preserve">For model-based indices in the Bering Sea, we fitted observations of numerical abundance</w:t>
      </w:r>
      <w:r>
        <w:t xml:space="preserve"> </w:t>
      </w:r>
      <w:r>
        <w:t xml:space="preserve">or biomass per unit area (where the choice of abundance or biomass varied by stock at the</w:t>
      </w:r>
      <w:r>
        <w:t xml:space="preserve"> </w:t>
      </w:r>
      <w:r>
        <w:t xml:space="preserve">request of assessors) from all sampling locations in the 83-112 bottom trawl survey of the</w:t>
      </w:r>
      <w:r>
        <w:t xml:space="preserve"> </w:t>
      </w:r>
      <w:r>
        <w:t xml:space="preserve">EBS, 1982-2025, including:</w:t>
      </w:r>
    </w:p>
    <w:p>
      <w:pPr>
        <w:pStyle w:val="Compact"/>
        <w:numPr>
          <w:ilvl w:val="0"/>
          <w:numId w:val="1002"/>
        </w:numPr>
      </w:pPr>
      <w:r>
        <w:t xml:space="preserve">Exploratory northern extension samples in 2001, 2005, and 2006</w:t>
      </w:r>
    </w:p>
    <w:p>
      <w:pPr>
        <w:pStyle w:val="Compact"/>
        <w:numPr>
          <w:ilvl w:val="0"/>
          <w:numId w:val="1002"/>
        </w:numPr>
      </w:pPr>
      <w:r>
        <w:t xml:space="preserve">83-112 samples available in the NBS in 1982, 1985, 1988, 1991, 2010, 2017-2019,</w:t>
      </w:r>
      <w:r>
        <w:t xml:space="preserve"> </w:t>
      </w:r>
      <w:r>
        <w:t xml:space="preserve">2021-2023, and 2025</w:t>
      </w:r>
    </w:p>
    <w:p>
      <w:pPr>
        <w:pStyle w:val="FirstParagraph"/>
      </w:pPr>
      <w:r>
        <w:t xml:space="preserve">NBS samples collected prior to 2010 and in 2018 did not follow the 20 nautical mile</w:t>
      </w:r>
      <w:r>
        <w:t xml:space="preserve"> </w:t>
      </w:r>
      <w:r>
        <w:t xml:space="preserve">sampling grid that was used in other survey years. Assimilating these unbalanced data</w:t>
      </w:r>
      <w:r>
        <w:t xml:space="preserve"> </w:t>
      </w:r>
      <w:r>
        <w:t xml:space="preserve">requires extrapolating into unsampled areas, facilitated by including a spatially varying</w:t>
      </w:r>
      <w:r>
        <w:t xml:space="preserve"> </w:t>
      </w:r>
      <w:r>
        <w:t xml:space="preserve">response to cold-pool extent</w:t>
      </w:r>
      <w:r>
        <w:t xml:space="preserve"> </w:t>
      </w:r>
      <w:r>
        <w:t xml:space="preserve">(Thorson 2019)</w:t>
      </w:r>
      <w:r>
        <w:t xml:space="preserve">. This spatially varying coefficient term was</w:t>
      </w:r>
      <w:r>
        <w:t xml:space="preserve"> </w:t>
      </w:r>
      <w:r>
        <w:t xml:space="preserve">estimated for both linear predictors of a delta-model, and detailed comparison of results</w:t>
      </w:r>
      <w:r>
        <w:t xml:space="preserve"> </w:t>
      </w:r>
      <w:r>
        <w:t xml:space="preserve">for EBS pollock has shown that it has a small but notable effect on these indices and</w:t>
      </w:r>
      <w:r>
        <w:t xml:space="preserve"> </w:t>
      </w:r>
      <w:r>
        <w:t xml:space="preserve">resulting stock assessment outputs</w:t>
      </w:r>
      <w:r>
        <w:t xml:space="preserve"> </w:t>
      </w:r>
      <w:r>
        <w:t xml:space="preserve">(O’Leary et al. 2020)</w:t>
      </w:r>
      <w:r>
        <w:t xml:space="preserve">.</w:t>
      </w:r>
    </w:p>
    <w:p>
      <w:pPr>
        <w:pStyle w:val="BodyText"/>
      </w:pPr>
      <w:r>
        <w:t xml:space="preserve">Rather than using the cold-pool covariate for yellowfin sole, we instead used the mean</w:t>
      </w:r>
      <w:r>
        <w:t xml:space="preserve"> </w:t>
      </w:r>
      <w:r>
        <w:t xml:space="preserve">bottom temperature within the inner and middle domain strata from an interpolated</w:t>
      </w:r>
      <w:r>
        <w:t xml:space="preserve"> </w:t>
      </w:r>
      <w:r>
        <w:t xml:space="preserve">temperature product. All models were fitted in the sdmTMB R package</w:t>
      </w:r>
      <w:r>
        <w:t xml:space="preserve"> </w:t>
      </w:r>
      <w:r>
        <w:t xml:space="preserve">(https://pbs-assess.github.io/sdmTMB;</w:t>
      </w:r>
      <w:r>
        <w:t xml:space="preserve"> </w:t>
      </w:r>
      <w:r>
        <w:t xml:space="preserve">Anderson et al. (2022)</w:t>
      </w:r>
      <w:r>
        <w:t xml:space="preserve">). All environmental data used as</w:t>
      </w:r>
      <w:r>
        <w:t xml:space="preserve"> </w:t>
      </w:r>
      <w:r>
        <w:t xml:space="preserve">covariates were computed within the coldpool R package</w:t>
      </w:r>
      <w:r>
        <w:t xml:space="preserve"> </w:t>
      </w:r>
      <w:r>
        <w:t xml:space="preserve">(https://github.com/afsc-gap-products/coldpool;</w:t>
      </w:r>
      <w:r>
        <w:t xml:space="preserve"> </w:t>
      </w:r>
      <w:r>
        <w:t xml:space="preserve">Rohan, Barnett, and Charriere (2022)</w:t>
      </w:r>
      <w:r>
        <w:t xml:space="preserve">).</w:t>
      </w:r>
    </w:p>
    <w:p>
      <w:pPr>
        <w:pStyle w:val="BodyText"/>
      </w:pPr>
      <w:r>
        <w:t xml:space="preserve">We used a spatiotemporal Poisson-link delta-model</w:t>
      </w:r>
      <w:r>
        <w:t xml:space="preserve"> </w:t>
      </w:r>
      <w:r>
        <w:t xml:space="preserve">(Thorson 2018)</w:t>
      </w:r>
      <w:r>
        <w:t xml:space="preserve"> </w:t>
      </w:r>
      <w:r>
        <w:t xml:space="preserve">involving two linear</w:t>
      </w:r>
      <w:r>
        <w:t xml:space="preserve"> </w:t>
      </w:r>
      <w:r>
        <w:t xml:space="preserve">predictors and a gamma distribution to model positive catch rates. We predicted population</w:t>
      </w:r>
      <w:r>
        <w:t xml:space="preserve"> </w:t>
      </w:r>
      <w:r>
        <w:t xml:space="preserve">density across the entire EBS and NBS in each year, using AFSC GAP-approved prediction</w:t>
      </w:r>
      <w:r>
        <w:t xml:space="preserve"> </w:t>
      </w:r>
      <w:r>
        <w:t xml:space="preserve">grids. Spatial and spatiotemporal fields were estimated using a spatial mesh including 250</w:t>
      </w:r>
      <w:r>
        <w:t xml:space="preserve"> </w:t>
      </w:r>
      <w:r>
        <w:t xml:space="preserve">“knots”</w:t>
      </w:r>
      <w:r>
        <w:t xml:space="preserve"> </w:t>
      </w:r>
      <w:r>
        <w:t xml:space="preserve">whose locations were determined using a K-means algorithm to place the knots</w:t>
      </w:r>
      <w:r>
        <w:t xml:space="preserve"> </w:t>
      </w:r>
      <w:r>
        <w:t xml:space="preserve">evenly over space, in proportion to the dimensions of the prediction grid.</w:t>
      </w:r>
    </w:p>
    <w:p>
      <w:pPr>
        <w:pStyle w:val="BodyText"/>
      </w:pPr>
      <w:r>
        <w:t xml:space="preserve">While the prior VAST model was fitted with a 750 knot mesh, we found that sdmTMB models</w:t>
      </w:r>
      <w:r>
        <w:t xml:space="preserve"> </w:t>
      </w:r>
      <w:r>
        <w:t xml:space="preserve">fitted with mesh resolutions from 250-750 knots all provided extremely similar index</w:t>
      </w:r>
      <w:r>
        <w:t xml:space="preserve"> </w:t>
      </w:r>
      <w:r>
        <w:t xml:space="preserve">estimates and that reducing the number of knots dramatically improved computation time. We</w:t>
      </w:r>
      <w:r>
        <w:t xml:space="preserve"> </w:t>
      </w:r>
      <w:r>
        <w:t xml:space="preserve">estimated geometric anisotropy (how spatial autocorrelation declines with differing rates</w:t>
      </w:r>
      <w:r>
        <w:t xml:space="preserve"> </w:t>
      </w:r>
      <w:r>
        <w:t xml:space="preserve">over distance in some cardinal directions than others) and included a spatial and</w:t>
      </w:r>
      <w:r>
        <w:t xml:space="preserve"> </w:t>
      </w:r>
      <w:r>
        <w:t xml:space="preserve">spatiotemporal term for both linear predictors.</w:t>
      </w:r>
    </w:p>
    <w:p>
      <w:pPr>
        <w:pStyle w:val="BodyText"/>
      </w:pPr>
      <w:r>
        <w:t xml:space="preserve">To facilitate prediction of density in regions with unsampled years, we specified that the</w:t>
      </w:r>
      <w:r>
        <w:t xml:space="preserve"> </w:t>
      </w:r>
      <w:r>
        <w:t xml:space="preserve">spatiotemporal fields were structured over time as an AR(1) process (where the magnitude</w:t>
      </w:r>
      <w:r>
        <w:t xml:space="preserve"> </w:t>
      </w:r>
      <w:r>
        <w:t xml:space="preserve">of autocorrelation was estimated as a fixed effect for each linear predictor). However, in</w:t>
      </w:r>
      <w:r>
        <w:t xml:space="preserve"> </w:t>
      </w:r>
      <w:r>
        <w:t xml:space="preserve">cases where the AR(1) correlation parameter ⍴ was estimated to be close to 1 for either</w:t>
      </w:r>
      <w:r>
        <w:t xml:space="preserve"> </w:t>
      </w:r>
      <w:r>
        <w:t xml:space="preserve">model component, the model would be collapsed into a simpler structure by specifying ⍴ =</w:t>
      </w:r>
      <w:r>
        <w:t xml:space="preserve"> </w:t>
      </w:r>
      <w:r>
        <w:t xml:space="preserve">1, i.e., modeling spatiotemporal variation as a random walk. We did not include any</w:t>
      </w:r>
      <w:r>
        <w:t xml:space="preserve"> </w:t>
      </w:r>
      <w:r>
        <w:t xml:space="preserve">temporal correlation for intercepts, which we treated as fixed effects for each linear</w:t>
      </w:r>
      <w:r>
        <w:t xml:space="preserve"> </w:t>
      </w:r>
      <w:r>
        <w:t xml:space="preserve">predictor and year. Finally, we used epsilon bias-correction to correct for</w:t>
      </w:r>
      <w:r>
        <w:t xml:space="preserve"> </w:t>
      </w:r>
      <w:r>
        <w:t xml:space="preserve">retransformation bias</w:t>
      </w:r>
      <w:r>
        <w:t xml:space="preserve"> </w:t>
      </w:r>
      <w:r>
        <w:t xml:space="preserve">(Thorson and Kristensen 2016)</w:t>
      </w:r>
      <w:r>
        <w:t xml:space="preserve">.</w:t>
      </w:r>
    </w:p>
    <w:p>
      <w:pPr>
        <w:pStyle w:val="BodyText"/>
      </w:pPr>
      <w:r>
        <w:t xml:space="preserve">We checked model fits for convergence by confirming that the derivative of the marginal</w:t>
      </w:r>
      <w:r>
        <w:t xml:space="preserve"> </w:t>
      </w:r>
      <w:r>
        <w:t xml:space="preserve">likelihood with respect to each fixed effect was sufficiently small (less than ~ 0.001)</w:t>
      </w:r>
      <w:r>
        <w:t xml:space="preserve"> </w:t>
      </w:r>
      <w:r>
        <w:t xml:space="preserve">and that the Hessian matrix was positive definite, along with other model checks produced</w:t>
      </w:r>
      <w:r>
        <w:t xml:space="preserve"> </w:t>
      </w:r>
      <w:r>
        <w:t xml:space="preserve">by the function</w:t>
      </w:r>
      <w:r>
        <w:t xml:space="preserve"> </w:t>
      </w:r>
      <w:r>
        <w:rPr>
          <w:rStyle w:val="VerbatimChar"/>
        </w:rPr>
        <w:t xml:space="preserve">sdmTMB::sanity()</w:t>
      </w:r>
      <w:r>
        <w:t xml:space="preserve">. We then checked goodness of model fit by computing</w:t>
      </w:r>
      <w:r>
        <w:t xml:space="preserve"> </w:t>
      </w:r>
      <w:r>
        <w:t xml:space="preserve">Dunn-Smyth randomized quantile residuals</w:t>
      </w:r>
      <w:r>
        <w:t xml:space="preserve"> </w:t>
      </w:r>
      <w:r>
        <w:t xml:space="preserve">(Dunn and Smyth 1996)</w:t>
      </w:r>
      <w:r>
        <w:t xml:space="preserve"> </w:t>
      </w:r>
      <w:r>
        <w:t xml:space="preserve">and visualizing these using a</w:t>
      </w:r>
      <w:r>
        <w:t xml:space="preserve"> </w:t>
      </w:r>
      <w:r>
        <w:t xml:space="preserve">quantile-quantile plot within the DHARMa R package</w:t>
      </w:r>
      <w:r>
        <w:t xml:space="preserve"> </w:t>
      </w:r>
      <w:r>
        <w:t xml:space="preserve">(Hartig 2021)</w:t>
      </w:r>
      <w:r>
        <w:t xml:space="preserve">. We also evaluated the</w:t>
      </w:r>
      <w:r>
        <w:t xml:space="preserve"> </w:t>
      </w:r>
      <w:r>
        <w:t xml:space="preserve">distribution of these residuals over space in each year, and inspected them for evidence</w:t>
      </w:r>
      <w:r>
        <w:t xml:space="preserve"> </w:t>
      </w:r>
      <w:r>
        <w:t xml:space="preserve">of residual spatiotemporal patterns. Results compared favorably among methods, and the</w:t>
      </w:r>
      <w:r>
        <w:t xml:space="preserve"> </w:t>
      </w:r>
      <w:r>
        <w:t xml:space="preserve">model index result was very similar to previous estimates (</w:t>
      </w:r>
      <w:hyperlink w:anchor="fig-sdm_index">
        <w:r>
          <w:rPr>
            <w:rStyle w:val="Hyperlink"/>
          </w:rPr>
          <w:t xml:space="preserve">Figure 34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91" w:name="fig-sdm_index"/>
          <w:p>
            <w:pPr>
              <w:pStyle w:val="Compact"/>
              <w:jc w:val="center"/>
            </w:pPr>
            <w:r>
              <w:drawing>
                <wp:inline>
                  <wp:extent cx="5334000" cy="3578794"/>
                  <wp:effectExtent b="0" l="0" r="0" t="0"/>
                  <wp:docPr descr="" title="" id="189" name="Picture"/>
                  <a:graphic>
                    <a:graphicData uri="http://schemas.openxmlformats.org/drawingml/2006/picture">
                      <pic:pic>
                        <pic:nvPicPr>
                          <pic:cNvPr descr="figs/Vast_index_updated.png" id="190" name="Picture"/>
                          <pic:cNvPicPr>
                            <a:picLocks noChangeArrowheads="1" noChangeAspect="1"/>
                          </pic:cNvPicPr>
                        </pic:nvPicPr>
                        <pic:blipFill>
                          <a:blip r:embed="rId188"/>
                          <a:stretch>
                            <a:fillRect/>
                          </a:stretch>
                        </pic:blipFill>
                        <pic:spPr bwMode="auto">
                          <a:xfrm>
                            <a:off x="0" y="0"/>
                            <a:ext cx="5334000" cy="3578794"/>
                          </a:xfrm>
                          <a:prstGeom prst="rect">
                            <a:avLst/>
                          </a:prstGeom>
                          <a:noFill/>
                          <a:ln w="9525">
                            <a:noFill/>
                            <a:headEnd/>
                            <a:tailEnd/>
                          </a:ln>
                        </pic:spPr>
                      </pic:pic>
                    </a:graphicData>
                  </a:graphic>
                </wp:inline>
              </w:drawing>
            </w:r>
          </w:p>
          <w:p>
            <w:pPr>
              <w:jc w:val="center"/>
            </w:pPr>
            <w:pPr>
              <w:jc w:val="start"/>
              <w:spacing w:before="200"/>
              <w:pStyle w:val="ImageCaption"/>
            </w:pPr>
            <w:r>
              <w:t xml:space="preserve">Figure 34: Model results comparing last year’s model with the revised sdmTMB model.</w:t>
            </w:r>
          </w:p>
          <w:bookmarkEnd w:id="191"/>
        </w:tc>
      </w:tr>
    </w:tbl>
    <w:bookmarkEnd w:id="192"/>
    <w:bookmarkStart w:id="197" w:name="model-based-age-composition-methods"/>
    <w:p>
      <w:pPr>
        <w:pStyle w:val="Heading2"/>
      </w:pPr>
      <w:r>
        <w:t xml:space="preserve">Model-based Age Composition Methods</w:t>
      </w:r>
    </w:p>
    <w:p>
      <w:pPr>
        <w:pStyle w:val="FirstParagraph"/>
      </w:pPr>
      <w:r>
        <w:t xml:space="preserve">For model-based estimation of age compositions in the Bering Sea, we fitted observations</w:t>
      </w:r>
      <w:r>
        <w:t xml:space="preserve"> </w:t>
      </w:r>
      <w:r>
        <w:t xml:space="preserve">of numerical abundance-at-age at each sampling location. This was made possible by</w:t>
      </w:r>
      <w:r>
        <w:t xml:space="preserve"> </w:t>
      </w:r>
      <w:r>
        <w:t xml:space="preserve">applying a year-specific, region-specific (EBS and NBS) age-length key to records of</w:t>
      </w:r>
      <w:r>
        <w:t xml:space="preserve"> </w:t>
      </w:r>
      <w:r>
        <w:t xml:space="preserve">numerical abundance and length composition. In subcategories (combinations of year,</w:t>
      </w:r>
      <w:r>
        <w:t xml:space="preserve"> </w:t>
      </w:r>
      <w:r>
        <w:t xml:space="preserve">length, age, sex) that contained insufficient data, age composition was computed from</w:t>
      </w:r>
      <w:r>
        <w:t xml:space="preserve"> </w:t>
      </w:r>
      <w:r>
        <w:t xml:space="preserve">length composition given a globally pooled age-length key.</w:t>
      </w:r>
    </w:p>
    <w:p>
      <w:pPr>
        <w:pStyle w:val="BodyText"/>
      </w:pPr>
      <w:r>
        <w:t xml:space="preserve">We computed these estimates in the tinyVAST R package</w:t>
      </w:r>
      <w:r>
        <w:t xml:space="preserve"> </w:t>
      </w:r>
      <w:r>
        <w:t xml:space="preserve">(https://vast-lib.github.io/tinyVAST;</w:t>
      </w:r>
      <w:r>
        <w:t xml:space="preserve"> </w:t>
      </w:r>
      <w:r>
        <w:t xml:space="preserve">Thorson et al. (2024)</w:t>
      </w:r>
      <w:r>
        <w:t xml:space="preserve">), assuming a Poisson-link delta-model</w:t>
      </w:r>
      <w:r>
        <w:t xml:space="preserve"> </w:t>
      </w:r>
      <w:r>
        <w:t xml:space="preserve">(Thorson 2018)</w:t>
      </w:r>
      <w:r>
        <w:t xml:space="preserve"> </w:t>
      </w:r>
      <w:r>
        <w:t xml:space="preserve">involving two linear predictors, and a gamma distribution to model positive</w:t>
      </w:r>
      <w:r>
        <w:t xml:space="preserve"> </w:t>
      </w:r>
      <w:r>
        <w:t xml:space="preserve">catch rates. We did not include any density covariates in estimation of age composition</w:t>
      </w:r>
      <w:r>
        <w:t xml:space="preserve"> </w:t>
      </w:r>
      <w:r>
        <w:t xml:space="preserve">for consistency with models used in the previous assessments and due to computational</w:t>
      </w:r>
      <w:r>
        <w:t xml:space="preserve"> </w:t>
      </w:r>
      <w:r>
        <w:t xml:space="preserve">limitations.</w:t>
      </w:r>
    </w:p>
    <w:p>
      <w:pPr>
        <w:pStyle w:val="BodyText"/>
      </w:pPr>
      <w:r>
        <w:t xml:space="preserve">We estimated the spatial range assuming geometric isotropy (i.e, spatial autocorrelation</w:t>
      </w:r>
      <w:r>
        <w:t xml:space="preserve"> </w:t>
      </w:r>
      <w:r>
        <w:t xml:space="preserve">declines with equal rates over distance in all cardinal directions). We used the same</w:t>
      </w:r>
      <w:r>
        <w:t xml:space="preserve"> </w:t>
      </w:r>
      <w:r>
        <w:t xml:space="preserve">extrapolation grid as implemented for abundance indices, but here we modeled spatial and</w:t>
      </w:r>
      <w:r>
        <w:t xml:space="preserve"> </w:t>
      </w:r>
      <w:r>
        <w:t xml:space="preserve">spatiotemporal fields with a mesh with a coarser spatial resolution than the index model,</w:t>
      </w:r>
      <w:r>
        <w:t xml:space="preserve"> </w:t>
      </w:r>
      <w:r>
        <w:t xml:space="preserve">here using 50</w:t>
      </w:r>
      <w:r>
        <w:t xml:space="preserve"> </w:t>
      </w:r>
      <w:r>
        <w:t xml:space="preserve">“knots”</w:t>
      </w:r>
      <w:r>
        <w:t xml:space="preserve">. This reduction in the spatial resolution of the model, relative to</w:t>
      </w:r>
      <w:r>
        <w:t xml:space="preserve"> </w:t>
      </w:r>
      <w:r>
        <w:t xml:space="preserve">that used for the abundance indices, was necessary due to the increased computational load</w:t>
      </w:r>
      <w:r>
        <w:t xml:space="preserve"> </w:t>
      </w:r>
      <w:r>
        <w:t xml:space="preserve">of fitting multiple age categories.</w:t>
      </w:r>
    </w:p>
    <w:p>
      <w:pPr>
        <w:pStyle w:val="BodyText"/>
      </w:pPr>
      <w:r>
        <w:t xml:space="preserve">The estimates of abundance at age were bias-corrected with the same method as the</w:t>
      </w:r>
      <w:r>
        <w:t xml:space="preserve"> </w:t>
      </w:r>
      <w:r>
        <w:t xml:space="preserve">abundance index. We implemented the same diagnostics to check convergence and model fit as</w:t>
      </w:r>
      <w:r>
        <w:t xml:space="preserve"> </w:t>
      </w:r>
      <w:r>
        <w:t xml:space="preserve">those used for the abundance index. Results compared favorably among methods</w:t>
      </w:r>
      <w:r>
        <w:t xml:space="preserve"> </w:t>
      </w:r>
      <w:r>
        <w:t xml:space="preserve">(</w:t>
      </w:r>
      <w:hyperlink w:anchor="fig-sdm_age">
        <w:r>
          <w:rPr>
            <w:rStyle w:val="Hyperlink"/>
          </w:rPr>
          <w:t xml:space="preserve">Figure 35</w:t>
        </w:r>
      </w:hyperlink>
      <w:r>
        <w:t xml:space="preserve">).</w:t>
      </w:r>
    </w:p>
    <w:p>
      <w:pPr>
        <w:pStyle w:val="BodyText"/>
      </w:pPr>
      <w:r>
        <w:t xml:space="preserve">Both the model-based bottom trawl index and age composition estimates were calculated</w:t>
      </w:r>
      <w:r>
        <w:t xml:space="preserve"> </w:t>
      </w:r>
      <w:r>
        <w:t xml:space="preserve">using code in the AFSC GAP model-based indices GitHub repository</w:t>
      </w:r>
      <w:r>
        <w:t xml:space="preserve"> </w:t>
      </w:r>
      <w:r>
        <w:t xml:space="preserve">(https://github.com/afsc-gap-products/model-based-indices). Design-based estimates of</w:t>
      </w:r>
      <w:r>
        <w:t xml:space="preserve"> </w:t>
      </w:r>
      <w:r>
        <w:t xml:space="preserve">bottom trawl products were calculated using code in the gapindex R package</w:t>
      </w:r>
      <w:r>
        <w:t xml:space="preserve"> </w:t>
      </w:r>
      <w:r>
        <w:t xml:space="preserve">(https://github.com/afsc-gap-products/gapindex).</w:t>
      </w:r>
    </w:p>
    <w:tbl>
      <w:tblPr>
        <w:tblStyle w:val="Table"/>
        <w:tblW w:type="pct" w:w="5000"/>
        <w:tblLayout w:type="fixed"/>
        <w:tblLook w:firstRow="0" w:lastRow="0" w:firstColumn="0" w:lastColumn="0" w:noHBand="0" w:noVBand="0" w:val="0000"/>
      </w:tblPr>
      <w:tblGrid>
        <w:gridCol w:w="7920"/>
      </w:tblGrid>
      <w:tr>
        <w:tc>
          <w:tcPr/>
          <w:bookmarkStart w:id="196" w:name="fig-sdm_age"/>
          <w:p>
            <w:pPr>
              <w:pStyle w:val="Compact"/>
              <w:jc w:val="center"/>
            </w:pPr>
            <w:r>
              <w:drawing>
                <wp:inline>
                  <wp:extent cx="5334000" cy="4798793"/>
                  <wp:effectExtent b="0" l="0" r="0" t="0"/>
                  <wp:docPr descr="" title="" id="194" name="Picture"/>
                  <a:graphic>
                    <a:graphicData uri="http://schemas.openxmlformats.org/drawingml/2006/picture">
                      <pic:pic>
                        <pic:nvPicPr>
                          <pic:cNvPr descr="figs/VAST_Age_Compare.png" id="195" name="Picture"/>
                          <pic:cNvPicPr>
                            <a:picLocks noChangeArrowheads="1" noChangeAspect="1"/>
                          </pic:cNvPicPr>
                        </pic:nvPicPr>
                        <pic:blipFill>
                          <a:blip r:embed="rId193"/>
                          <a:stretch>
                            <a:fillRect/>
                          </a:stretch>
                        </pic:blipFill>
                        <pic:spPr bwMode="auto">
                          <a:xfrm>
                            <a:off x="0" y="0"/>
                            <a:ext cx="5334000" cy="4798793"/>
                          </a:xfrm>
                          <a:prstGeom prst="rect">
                            <a:avLst/>
                          </a:prstGeom>
                          <a:noFill/>
                          <a:ln w="9525">
                            <a:noFill/>
                            <a:headEnd/>
                            <a:tailEnd/>
                          </a:ln>
                        </pic:spPr>
                      </pic:pic>
                    </a:graphicData>
                  </a:graphic>
                </wp:inline>
              </w:drawing>
            </w:r>
          </w:p>
          <w:p>
            <w:pPr>
              <w:jc w:val="center"/>
            </w:pPr>
            <w:pPr>
              <w:jc w:val="start"/>
              <w:spacing w:before="200"/>
              <w:pStyle w:val="ImageCaption"/>
            </w:pPr>
            <w:r>
              <w:t xml:space="preserve">Figure 35: Model results comparing last year’s model with the revised sdmTMB model.</w:t>
            </w:r>
          </w:p>
          <w:bookmarkEnd w:id="196"/>
        </w:tc>
      </w:tr>
    </w:tbl>
    <w:bookmarkEnd w:id="197"/>
    <w:bookmarkEnd w:id="198"/>
    <w:bookmarkStart w:id="209" w:name="sec-selnotes"/>
    <w:p>
      <w:pPr>
        <w:pStyle w:val="Heading1"/>
      </w:pPr>
      <w:r>
        <w:t xml:space="preserve">Pollock model fishery selectivity notes</w:t>
      </w:r>
    </w:p>
    <w:p>
      <w:pPr>
        <w:pStyle w:val="FirstParagraph"/>
      </w:pPr>
      <w:r>
        <w:t xml:space="preserve">The following provides more detail based on the actual code as adopted from</w:t>
      </w:r>
      <w:r>
        <w:t xml:space="preserve"> </w:t>
      </w:r>
      <w:r>
        <w:t xml:space="preserve">Butterworth, Ianelli, and Hilborn (2003)</w:t>
      </w:r>
      <w:r>
        <w:t xml:space="preserve">.</w:t>
      </w:r>
      <w:r>
        <w:t xml:space="preserve"> </w:t>
      </w:r>
      <w:r>
        <w:t xml:space="preserve">During the CIE review this came up as a point of clarification and we provide the details here for reference.</w:t>
      </w:r>
    </w:p>
    <w:bookmarkStart w:id="202" w:name="initial-setup"/>
    <w:p>
      <w:pPr>
        <w:pStyle w:val="Heading2"/>
      </w:pPr>
      <w:r>
        <w:t xml:space="preserve">Initial Setup</w:t>
      </w:r>
    </w:p>
    <w:bookmarkStart w:id="199" w:name="average-selectivity"/>
    <w:p>
      <w:pPr>
        <w:pStyle w:val="Heading3"/>
      </w:pPr>
      <w:r>
        <w:t xml:space="preserve">Average Selectivity</w:t>
      </w:r>
    </w:p>
    <w:p>
      <w:pPr>
        <w:pStyle w:val="FirstParagraph"/>
      </w:pPr>
      <m:oMathPara>
        <m:oMathParaPr>
          <m:jc m:val="center"/>
        </m:oMathParaPr>
        <m:oMath>
          <m:bar>
            <m:barPr>
              <m:pos m:val="top"/>
            </m:barPr>
            <m:e>
              <m:r>
                <m:t>s</m:t>
              </m:r>
              <m:r>
                <m:t>e</m:t>
              </m:r>
              <m:r>
                <m:t>l</m:t>
              </m:r>
            </m:e>
          </m:bar>
          <m:r>
            <m:rPr>
              <m:sty m:val="p"/>
            </m:rPr>
            <m:t>=</m:t>
          </m:r>
          <m:r>
            <m:rPr>
              <m:sty m:val="p"/>
            </m:rPr>
            <m:t>log</m:t>
          </m:r>
          <m:d>
            <m:dPr>
              <m:begChr m:val="("/>
              <m:sepChr m:val=""/>
              <m:endChr m:val=")"/>
              <m:grow/>
            </m:dPr>
            <m:e>
              <m:r>
                <m:rPr>
                  <m:nor/>
                  <m:sty m:val="p"/>
                </m:rPr>
                <m:t>mean</m:t>
              </m:r>
              <m:d>
                <m:dPr>
                  <m:begChr m:val="("/>
                  <m:sepChr m:val=""/>
                  <m:endChr m:val=")"/>
                  <m:grow/>
                </m:dPr>
                <m:e>
                  <m:r>
                    <m:rPr>
                      <m:sty m:val="p"/>
                    </m:rPr>
                    <m:t>exp</m:t>
                  </m:r>
                  <m:d>
                    <m:dPr>
                      <m:begChr m:val="("/>
                      <m:sepChr m:val=""/>
                      <m:endChr m:val=")"/>
                      <m:grow/>
                    </m:dPr>
                    <m:e>
                      <m:r>
                        <m:rPr>
                          <m:sty m:val="b"/>
                        </m:rPr>
                        <m:t>c</m:t>
                      </m:r>
                    </m:e>
                  </m:d>
                </m:e>
              </m:d>
            </m:e>
          </m:d>
        </m:oMath>
      </m:oMathPara>
    </w:p>
    <w:p>
      <w:pPr>
        <w:pStyle w:val="FirstParagraph"/>
      </w:pPr>
      <w:r>
        <w:t xml:space="preserve">where</w:t>
      </w:r>
      <w:r>
        <w:t xml:space="preserve"> </w:t>
      </w:r>
      <m:oMath>
        <m:r>
          <m:rPr>
            <m:sty m:val="b"/>
          </m:rPr>
          <m:t>c</m:t>
        </m:r>
      </m:oMath>
      <w:r>
        <w:t xml:space="preserve"> </w:t>
      </w:r>
      <w:r>
        <w:t xml:space="preserve">is the vector of base selectivity coefficients.</w:t>
      </w:r>
    </w:p>
    <w:bookmarkEnd w:id="199"/>
    <w:bookmarkStart w:id="200" w:name="base-year-selectivity-t-stsel"/>
    <w:p>
      <w:pPr>
        <w:pStyle w:val="Heading3"/>
      </w:pPr>
      <w:r>
        <w:t xml:space="preserve">Base Year Selectivity (t = stsel)</w:t>
      </w:r>
    </w:p>
    <w:p>
      <w:pPr>
        <w:pStyle w:val="FirstParagraph"/>
      </w:pPr>
      <w:r>
        <w:t xml:space="preserve">For ages 1 to nsel:</w:t>
      </w:r>
    </w:p>
    <w:p>
      <w:pPr>
        <w:pStyle w:val="BodyText"/>
      </w:pPr>
      <m:oMathPara>
        <m:oMathParaPr>
          <m:jc m:val="center"/>
        </m:oMathParaPr>
        <m:oMath>
          <m:r>
            <m:rPr>
              <m:sty m:val="p"/>
            </m:rPr>
            <m:t>log</m:t>
          </m:r>
          <m:d>
            <m:dPr>
              <m:begChr m:val="("/>
              <m:sepChr m:val=""/>
              <m:endChr m:val=")"/>
              <m:grow/>
            </m:dPr>
            <m:e>
              <m:sSub>
                <m:e>
                  <m:r>
                    <m:t>S</m:t>
                  </m:r>
                </m:e>
                <m:sub>
                  <m:r>
                    <m:t>t</m:t>
                  </m:r>
                  <m:r>
                    <m:rPr>
                      <m:sty m:val="p"/>
                    </m:rPr>
                    <m:t>,</m:t>
                  </m:r>
                  <m:r>
                    <m:t>a</m:t>
                  </m:r>
                </m:sub>
              </m:sSub>
            </m:e>
          </m:d>
          <m:r>
            <m:rPr>
              <m:sty m:val="p"/>
            </m:rPr>
            <m:t>=</m:t>
          </m:r>
          <m:sSub>
            <m:e>
              <m:r>
                <m:t>c</m:t>
              </m:r>
            </m:e>
            <m:sub>
              <m:r>
                <m:t>a</m:t>
              </m:r>
            </m:sub>
          </m:sSub>
          <m:r>
            <m:t> </m:t>
          </m:r>
          <m:r>
            <m:rPr>
              <m:nor/>
              <m:sty m:val="p"/>
            </m:rPr>
            <m:t>for </m:t>
          </m:r>
          <m:r>
            <m:t>a</m:t>
          </m:r>
          <m:r>
            <m:rPr>
              <m:sty m:val="p"/>
            </m:rPr>
            <m:t>=</m:t>
          </m:r>
          <m:r>
            <m:t>1</m:t>
          </m:r>
          <m:r>
            <m:rPr>
              <m:sty m:val="p"/>
            </m:rPr>
            <m:t>,</m:t>
          </m:r>
          <m:r>
            <m:t>2</m:t>
          </m:r>
          <m:r>
            <m:rPr>
              <m:sty m:val="p"/>
            </m:rPr>
            <m:t>,</m:t>
          </m:r>
          <m:r>
            <m:rPr>
              <m:sty m:val="p"/>
            </m:rPr>
            <m:t>.</m:t>
          </m:r>
          <m:r>
            <m:rPr>
              <m:sty m:val="p"/>
            </m:rPr>
            <m:t>.</m:t>
          </m:r>
          <m:r>
            <m:rPr>
              <m:sty m:val="p"/>
            </m:rPr>
            <m:t>.</m:t>
          </m:r>
          <m:r>
            <m:rPr>
              <m:sty m:val="p"/>
            </m:rPr>
            <m:t>,</m:t>
          </m:r>
          <m:r>
            <m:t>n</m:t>
          </m:r>
          <m:r>
            <m:t>s</m:t>
          </m:r>
          <m:r>
            <m:t>e</m:t>
          </m:r>
          <m:r>
            <m:t>l</m:t>
          </m:r>
        </m:oMath>
      </m:oMathPara>
    </w:p>
    <w:p>
      <w:pPr>
        <w:pStyle w:val="FirstParagraph"/>
      </w:pPr>
      <w:r>
        <w:t xml:space="preserve">For older ages (plateau assumption):</w:t>
      </w:r>
    </w:p>
    <w:p>
      <w:pPr>
        <w:pStyle w:val="BodyText"/>
      </w:pPr>
      <m:oMathPara>
        <m:oMathParaPr>
          <m:jc m:val="center"/>
        </m:oMathParaPr>
        <m:oMath>
          <m:r>
            <m:rPr>
              <m:sty m:val="p"/>
            </m:rPr>
            <m:t>log</m:t>
          </m:r>
          <m:d>
            <m:dPr>
              <m:begChr m:val="("/>
              <m:sepChr m:val=""/>
              <m:endChr m:val=")"/>
              <m:grow/>
            </m:dPr>
            <m:e>
              <m:sSub>
                <m:e>
                  <m:r>
                    <m:t>S</m:t>
                  </m:r>
                </m:e>
                <m:sub>
                  <m:r>
                    <m:t>t</m:t>
                  </m:r>
                  <m:r>
                    <m:rPr>
                      <m:sty m:val="p"/>
                    </m:rPr>
                    <m:t>,</m:t>
                  </m:r>
                  <m:r>
                    <m:t>a</m:t>
                  </m:r>
                </m:sub>
              </m:sSub>
            </m:e>
          </m:d>
          <m:r>
            <m:rPr>
              <m:sty m:val="p"/>
            </m:rPr>
            <m:t>=</m:t>
          </m:r>
          <m:sSub>
            <m:e>
              <m:r>
                <m:t>c</m:t>
              </m:r>
            </m:e>
            <m:sub>
              <m:r>
                <m:t>n</m:t>
              </m:r>
              <m:r>
                <m:t>s</m:t>
              </m:r>
              <m:r>
                <m:t>e</m:t>
              </m:r>
              <m:r>
                <m:t>l</m:t>
              </m:r>
            </m:sub>
          </m:sSub>
          <m:r>
            <m:t> </m:t>
          </m:r>
          <m:r>
            <m:rPr>
              <m:nor/>
              <m:sty m:val="p"/>
            </m:rPr>
            <m:t>for </m:t>
          </m:r>
          <m:r>
            <m:t>a</m:t>
          </m:r>
          <m:r>
            <m:rPr>
              <m:sty m:val="p"/>
            </m:rPr>
            <m:t>=</m:t>
          </m:r>
          <m:r>
            <m:t>n</m:t>
          </m:r>
          <m:r>
            <m:t>s</m:t>
          </m:r>
          <m:r>
            <m:t>e</m:t>
          </m:r>
          <m:r>
            <m:t>l</m:t>
          </m:r>
          <m:r>
            <m:rPr>
              <m:sty m:val="p"/>
            </m:rPr>
            <m:t>+</m:t>
          </m:r>
          <m:r>
            <m:t>1</m:t>
          </m:r>
          <m:r>
            <m:rPr>
              <m:sty m:val="p"/>
            </m:rPr>
            <m:t>,</m:t>
          </m:r>
          <m:r>
            <m:rPr>
              <m:sty m:val="p"/>
            </m:rPr>
            <m:t>.</m:t>
          </m:r>
          <m:r>
            <m:rPr>
              <m:sty m:val="p"/>
            </m:rPr>
            <m:t>.</m:t>
          </m:r>
          <m:r>
            <m:rPr>
              <m:sty m:val="p"/>
            </m:rPr>
            <m:t>.</m:t>
          </m:r>
          <m:r>
            <m:rPr>
              <m:sty m:val="p"/>
            </m:rPr>
            <m:t>,</m:t>
          </m:r>
          <m:r>
            <m:t>n</m:t>
          </m:r>
          <m:r>
            <m:t>a</m:t>
          </m:r>
          <m:r>
            <m:t>g</m:t>
          </m:r>
          <m:r>
            <m:t>e</m:t>
          </m:r>
          <m:r>
            <m:t>s</m:t>
          </m:r>
        </m:oMath>
      </m:oMathPara>
    </w:p>
    <w:bookmarkEnd w:id="200"/>
    <w:bookmarkStart w:id="201" w:name="initial-normalization"/>
    <w:p>
      <w:pPr>
        <w:pStyle w:val="Heading3"/>
      </w:pPr>
      <w:r>
        <w:t xml:space="preserve">Initial Normalization</w:t>
      </w:r>
    </w:p>
    <w:p>
      <w:pPr>
        <w:pStyle w:val="FirstParagraph"/>
      </w:pPr>
      <m:oMathPara>
        <m:oMathParaPr>
          <m:jc m:val="center"/>
        </m:oMathParaPr>
        <m:oMath>
          <m:r>
            <m:rPr>
              <m:sty m:val="p"/>
            </m:rPr>
            <m:t>log</m:t>
          </m:r>
          <m:d>
            <m:dPr>
              <m:begChr m:val="("/>
              <m:sepChr m:val=""/>
              <m:endChr m:val=")"/>
              <m:grow/>
            </m:dPr>
            <m:e>
              <m:sSub>
                <m:e>
                  <m:r>
                    <m:t>S</m:t>
                  </m:r>
                </m:e>
                <m:sub>
                  <m:r>
                    <m:t>t</m:t>
                  </m:r>
                  <m:r>
                    <m:rPr>
                      <m:sty m:val="p"/>
                    </m:rPr>
                    <m:t>,</m:t>
                  </m:r>
                  <m:r>
                    <m:t>a</m:t>
                  </m:r>
                </m:sub>
              </m:sSub>
            </m:e>
          </m:d>
          <m:r>
            <m:rPr>
              <m:sty m:val="p"/>
            </m:rPr>
            <m:t>=</m:t>
          </m:r>
          <m:r>
            <m:rPr>
              <m:sty m:val="p"/>
            </m:rPr>
            <m:t>log</m:t>
          </m:r>
          <m:d>
            <m:dPr>
              <m:begChr m:val="("/>
              <m:sepChr m:val=""/>
              <m:endChr m:val=")"/>
              <m:grow/>
            </m:dPr>
            <m:e>
              <m:sSub>
                <m:e>
                  <m:r>
                    <m:t>S</m:t>
                  </m:r>
                </m:e>
                <m:sub>
                  <m:r>
                    <m:t>t</m:t>
                  </m:r>
                  <m:r>
                    <m:rPr>
                      <m:sty m:val="p"/>
                    </m:rPr>
                    <m:t>,</m:t>
                  </m:r>
                  <m:r>
                    <m:t>a</m:t>
                  </m:r>
                </m:sub>
              </m:sSub>
            </m:e>
          </m:d>
          <m:r>
            <m:rPr>
              <m:sty m:val="p"/>
            </m:rPr>
            <m:t>−</m:t>
          </m:r>
          <m:r>
            <m:rPr>
              <m:sty m:val="p"/>
            </m:rPr>
            <m:t>log</m:t>
          </m:r>
          <m:d>
            <m:dPr>
              <m:begChr m:val="("/>
              <m:sepChr m:val=""/>
              <m:endChr m:val=")"/>
              <m:grow/>
            </m:dPr>
            <m:e>
              <m:f>
                <m:fPr>
                  <m:type m:val="bar"/>
                </m:fPr>
                <m:num>
                  <m:r>
                    <m:t>1</m:t>
                  </m:r>
                </m:num>
                <m:den>
                  <m:r>
                    <m:t>n</m:t>
                  </m:r>
                  <m:r>
                    <m:t>a</m:t>
                  </m:r>
                  <m:r>
                    <m:t>g</m:t>
                  </m:r>
                  <m:r>
                    <m:t>e</m:t>
                  </m:r>
                  <m:r>
                    <m:t>s</m:t>
                  </m:r>
                </m:den>
              </m:f>
              <m:nary>
                <m:naryPr>
                  <m:chr m:val="∑"/>
                  <m:limLoc m:val="undOvr"/>
                  <m:subHide m:val="off"/>
                  <m:supHide m:val="off"/>
                </m:naryPr>
                <m:sub>
                  <m:r>
                    <m:t>a</m:t>
                  </m:r>
                  <m:r>
                    <m:rPr>
                      <m:sty m:val="p"/>
                    </m:rPr>
                    <m:t>=</m:t>
                  </m:r>
                  <m:r>
                    <m:t>1</m:t>
                  </m:r>
                </m:sub>
                <m:sup>
                  <m:r>
                    <m:t>n</m:t>
                  </m:r>
                  <m:r>
                    <m:t>a</m:t>
                  </m:r>
                  <m:r>
                    <m:t>g</m:t>
                  </m:r>
                  <m:r>
                    <m:t>e</m:t>
                  </m:r>
                  <m:r>
                    <m:t>s</m:t>
                  </m:r>
                </m:sup>
                <m:e>
                  <m:r>
                    <m:rPr>
                      <m:sty m:val="p"/>
                    </m:rPr>
                    <m:t>exp</m:t>
                  </m:r>
                </m:e>
              </m:nary>
              <m:d>
                <m:dPr>
                  <m:begChr m:val="("/>
                  <m:sepChr m:val=""/>
                  <m:endChr m:val=")"/>
                  <m:grow/>
                </m:dPr>
                <m:e>
                  <m:r>
                    <m:rPr>
                      <m:sty m:val="p"/>
                    </m:rPr>
                    <m:t>log</m:t>
                  </m:r>
                  <m:d>
                    <m:dPr>
                      <m:begChr m:val="("/>
                      <m:sepChr m:val=""/>
                      <m:endChr m:val=")"/>
                      <m:grow/>
                    </m:dPr>
                    <m:e>
                      <m:sSub>
                        <m:e>
                          <m:r>
                            <m:t>S</m:t>
                          </m:r>
                        </m:e>
                        <m:sub>
                          <m:r>
                            <m:t>t</m:t>
                          </m:r>
                          <m:r>
                            <m:rPr>
                              <m:sty m:val="p"/>
                            </m:rPr>
                            <m:t>,</m:t>
                          </m:r>
                          <m:r>
                            <m:t>a</m:t>
                          </m:r>
                        </m:sub>
                      </m:sSub>
                    </m:e>
                  </m:d>
                </m:e>
              </m:d>
            </m:e>
          </m:d>
        </m:oMath>
      </m:oMathPara>
    </w:p>
    <w:p>
      <w:pPr>
        <w:pStyle w:val="FirstParagraph"/>
      </w:pPr>
      <w:r>
        <w:t xml:space="preserve">This ensures:</w:t>
      </w:r>
      <w:r>
        <w:t xml:space="preserve"> </w:t>
      </w:r>
      <m:oMath>
        <m:nary>
          <m:naryPr>
            <m:chr m:val="∏"/>
            <m:limLoc m:val="undOvr"/>
            <m:subHide m:val="off"/>
            <m:supHide m:val="off"/>
          </m:naryPr>
          <m:sub>
            <m:r>
              <m:t>a</m:t>
            </m:r>
            <m:r>
              <m:rPr>
                <m:sty m:val="p"/>
              </m:rPr>
              <m:t>=</m:t>
            </m:r>
            <m:r>
              <m:t>1</m:t>
            </m:r>
          </m:sub>
          <m:sup>
            <m:r>
              <m:t>n</m:t>
            </m:r>
            <m:r>
              <m:t>a</m:t>
            </m:r>
            <m:r>
              <m:t>g</m:t>
            </m:r>
            <m:r>
              <m:t>e</m:t>
            </m:r>
            <m:r>
              <m:t>s</m:t>
            </m:r>
          </m:sup>
          <m:e>
            <m:sSubSup>
              <m:e>
                <m:r>
                  <m:t>S</m:t>
                </m:r>
              </m:e>
              <m:sub>
                <m:r>
                  <m:t>t</m:t>
                </m:r>
                <m:r>
                  <m:rPr>
                    <m:sty m:val="p"/>
                  </m:rPr>
                  <m:t>,</m:t>
                </m:r>
                <m:r>
                  <m:t>a</m:t>
                </m:r>
              </m:sub>
              <m:sup>
                <m:r>
                  <m:t>1</m:t>
                </m:r>
                <m:r>
                  <m:rPr>
                    <m:sty m:val="p"/>
                  </m:rPr>
                  <m:t>/</m:t>
                </m:r>
                <m:r>
                  <m:t>n</m:t>
                </m:r>
                <m:r>
                  <m:t>a</m:t>
                </m:r>
                <m:r>
                  <m:t>g</m:t>
                </m:r>
                <m:r>
                  <m:t>e</m:t>
                </m:r>
                <m:r>
                  <m:t>s</m:t>
                </m:r>
              </m:sup>
            </m:sSubSup>
          </m:e>
        </m:nary>
        <m:r>
          <m:rPr>
            <m:sty m:val="p"/>
          </m:rPr>
          <m:t>=</m:t>
        </m:r>
        <m:r>
          <m:t>1</m:t>
        </m:r>
      </m:oMath>
    </w:p>
    <w:bookmarkEnd w:id="201"/>
    <w:bookmarkEnd w:id="202"/>
    <w:bookmarkStart w:id="205" w:name="time-varying-component"/>
    <w:p>
      <w:pPr>
        <w:pStyle w:val="Heading2"/>
      </w:pPr>
      <w:r>
        <w:t xml:space="preserve">Time-Varying Component</w:t>
      </w:r>
    </w:p>
    <w:bookmarkStart w:id="203" w:name="selectivity-evolution-t-stsel"/>
    <w:p>
      <w:pPr>
        <w:pStyle w:val="Heading3"/>
      </w:pPr>
      <w:r>
        <w:t xml:space="preserve">Selectivity Evolution (t &gt; stsel)</w:t>
      </w:r>
    </w:p>
    <w:p>
      <w:pPr>
        <w:pStyle w:val="FirstParagraph"/>
      </w:pPr>
      <w:r>
        <w:t xml:space="preserve">For years without regime changes:</w:t>
      </w:r>
    </w:p>
    <w:p>
      <w:pPr>
        <w:pStyle w:val="BodyText"/>
      </w:pPr>
      <m:oMathPara>
        <m:oMathParaPr>
          <m:jc m:val="center"/>
        </m:oMathParaPr>
        <m:oMath>
          <m:r>
            <m:rPr>
              <m:sty m:val="p"/>
            </m:rPr>
            <m:t>log</m:t>
          </m:r>
          <m:d>
            <m:dPr>
              <m:begChr m:val="("/>
              <m:sepChr m:val=""/>
              <m:endChr m:val=")"/>
              <m:grow/>
            </m:dPr>
            <m:e>
              <m:sSub>
                <m:e>
                  <m:r>
                    <m:t>S</m:t>
                  </m:r>
                </m:e>
                <m:sub>
                  <m:r>
                    <m:t>t</m:t>
                  </m:r>
                  <m:r>
                    <m:rPr>
                      <m:sty m:val="p"/>
                    </m:rPr>
                    <m:t>+</m:t>
                  </m:r>
                  <m:r>
                    <m:t>1</m:t>
                  </m:r>
                  <m:r>
                    <m:rPr>
                      <m:sty m:val="p"/>
                    </m:rPr>
                    <m:t>,</m:t>
                  </m:r>
                  <m:r>
                    <m:t>a</m:t>
                  </m:r>
                </m:sub>
              </m:sSub>
            </m:e>
          </m:d>
          <m:r>
            <m:rPr>
              <m:sty m:val="p"/>
            </m:rPr>
            <m:t>=</m:t>
          </m:r>
          <m:r>
            <m:rPr>
              <m:sty m:val="p"/>
            </m:rPr>
            <m:t>log</m:t>
          </m:r>
          <m:d>
            <m:dPr>
              <m:begChr m:val="("/>
              <m:sepChr m:val=""/>
              <m:endChr m:val=")"/>
              <m:grow/>
            </m:dPr>
            <m:e>
              <m:sSub>
                <m:e>
                  <m:r>
                    <m:t>S</m:t>
                  </m:r>
                </m:e>
                <m:sub>
                  <m:r>
                    <m:t>t</m:t>
                  </m:r>
                  <m:r>
                    <m:rPr>
                      <m:sty m:val="p"/>
                    </m:rPr>
                    <m:t>,</m:t>
                  </m:r>
                  <m:r>
                    <m:t>a</m:t>
                  </m:r>
                </m:sub>
              </m:sSub>
            </m:e>
          </m:d>
          <m:r>
            <m:t> </m:t>
          </m:r>
          <m:r>
            <m:rPr>
              <m:nor/>
              <m:sty m:val="p"/>
            </m:rPr>
            <m:t>for all ages</m:t>
          </m:r>
        </m:oMath>
      </m:oMathPara>
    </w:p>
    <w:p>
      <w:pPr>
        <w:pStyle w:val="FirstParagraph"/>
      </w:pPr>
      <w:r>
        <w:t xml:space="preserve">For years with regime changes (when</w:t>
      </w:r>
      <w:r>
        <w:t xml:space="preserve"> </w:t>
      </w:r>
      <m:oMath>
        <m:r>
          <m:t>t</m:t>
        </m:r>
        <m:r>
          <m:rPr>
            <m:sty m:val="p"/>
          </m:rPr>
          <m:t>+</m:t>
        </m:r>
        <m:r>
          <m:t>1</m:t>
        </m:r>
        <m:r>
          <m:rPr>
            <m:sty m:val="p"/>
          </m:rPr>
          <m:t>∈</m:t>
        </m:r>
        <m:r>
          <m:rPr>
            <m:nor/>
            <m:sty m:val="p"/>
          </m:rPr>
          <m:t>yrs_ch_fsh</m:t>
        </m:r>
      </m:oMath>
      <w:r>
        <w:t xml:space="preserve">):</w:t>
      </w:r>
    </w:p>
    <w:p>
      <w:pPr>
        <w:pStyle w:val="BodyText"/>
      </w:pPr>
      <w:r>
        <w:rPr>
          <w:b/>
          <w:bCs/>
        </w:rPr>
        <w:t xml:space="preserve">Ages 1 to nsel:</w:t>
      </w:r>
    </w:p>
    <w:p>
      <w:pPr>
        <w:pStyle w:val="BodyText"/>
      </w:pPr>
      <m:oMathPara>
        <m:oMathParaPr>
          <m:jc m:val="center"/>
        </m:oMathParaPr>
        <m:oMath>
          <m:r>
            <m:rPr>
              <m:sty m:val="p"/>
            </m:rPr>
            <m:t>log</m:t>
          </m:r>
          <m:d>
            <m:dPr>
              <m:begChr m:val="("/>
              <m:sepChr m:val=""/>
              <m:endChr m:val=")"/>
              <m:grow/>
            </m:dPr>
            <m:e>
              <m:sSub>
                <m:e>
                  <m:r>
                    <m:t>S</m:t>
                  </m:r>
                </m:e>
                <m:sub>
                  <m:r>
                    <m:t>t</m:t>
                  </m:r>
                  <m:r>
                    <m:rPr>
                      <m:sty m:val="p"/>
                    </m:rPr>
                    <m:t>+</m:t>
                  </m:r>
                  <m:r>
                    <m:t>1</m:t>
                  </m:r>
                  <m:r>
                    <m:rPr>
                      <m:sty m:val="p"/>
                    </m:rPr>
                    <m:t>,</m:t>
                  </m:r>
                  <m:r>
                    <m:t>a</m:t>
                  </m:r>
                </m:sub>
              </m:sSub>
            </m:e>
          </m:d>
          <m:r>
            <m:rPr>
              <m:sty m:val="p"/>
            </m:rPr>
            <m:t>=</m:t>
          </m:r>
          <m:r>
            <m:rPr>
              <m:sty m:val="p"/>
            </m:rPr>
            <m:t>log</m:t>
          </m:r>
          <m:d>
            <m:dPr>
              <m:begChr m:val="("/>
              <m:sepChr m:val=""/>
              <m:endChr m:val=")"/>
              <m:grow/>
            </m:dPr>
            <m:e>
              <m:sSub>
                <m:e>
                  <m:r>
                    <m:t>S</m:t>
                  </m:r>
                </m:e>
                <m:sub>
                  <m:r>
                    <m:t>t</m:t>
                  </m:r>
                  <m:r>
                    <m:rPr>
                      <m:sty m:val="p"/>
                    </m:rPr>
                    <m:t>,</m:t>
                  </m:r>
                  <m:r>
                    <m:t>a</m:t>
                  </m:r>
                </m:sub>
              </m:sSub>
            </m:e>
          </m:d>
          <m:r>
            <m:rPr>
              <m:sty m:val="p"/>
            </m:rPr>
            <m:t>+</m:t>
          </m:r>
          <m:sSub>
            <m:e>
              <m:r>
                <m:t>δ</m:t>
              </m:r>
            </m:e>
            <m:sub>
              <m:r>
                <m:t>i</m:t>
              </m:r>
              <m:r>
                <m:t>i</m:t>
              </m:r>
              <m:r>
                <m:rPr>
                  <m:sty m:val="p"/>
                </m:rPr>
                <m:t>,</m:t>
              </m:r>
              <m:r>
                <m:t>a</m:t>
              </m:r>
            </m:sub>
          </m:sSub>
          <m:r>
            <m:t> </m:t>
          </m:r>
          <m:r>
            <m:rPr>
              <m:nor/>
              <m:sty m:val="p"/>
            </m:rPr>
            <m:t>for </m:t>
          </m:r>
          <m:r>
            <m:t>a</m:t>
          </m:r>
          <m:r>
            <m:rPr>
              <m:sty m:val="p"/>
            </m:rPr>
            <m:t>=</m:t>
          </m:r>
          <m:r>
            <m:t>1</m:t>
          </m:r>
          <m:r>
            <m:rPr>
              <m:sty m:val="p"/>
            </m:rPr>
            <m:t>,</m:t>
          </m:r>
          <m:r>
            <m:t>2</m:t>
          </m:r>
          <m:r>
            <m:rPr>
              <m:sty m:val="p"/>
            </m:rPr>
            <m:t>,</m:t>
          </m:r>
          <m:r>
            <m:rPr>
              <m:sty m:val="p"/>
            </m:rPr>
            <m:t>.</m:t>
          </m:r>
          <m:r>
            <m:rPr>
              <m:sty m:val="p"/>
            </m:rPr>
            <m:t>.</m:t>
          </m:r>
          <m:r>
            <m:rPr>
              <m:sty m:val="p"/>
            </m:rPr>
            <m:t>.</m:t>
          </m:r>
          <m:r>
            <m:rPr>
              <m:sty m:val="p"/>
            </m:rPr>
            <m:t>,</m:t>
          </m:r>
          <m:r>
            <m:t>n</m:t>
          </m:r>
          <m:r>
            <m:t>s</m:t>
          </m:r>
          <m:r>
            <m:t>e</m:t>
          </m:r>
          <m:r>
            <m:t>l</m:t>
          </m:r>
        </m:oMath>
      </m:oMathPara>
    </w:p>
    <w:p>
      <w:pPr>
        <w:pStyle w:val="FirstParagraph"/>
      </w:pPr>
      <w:r>
        <w:rPr>
          <w:b/>
          <w:bCs/>
        </w:rPr>
        <w:t xml:space="preserve">Older ages (plateau maintained):</w:t>
      </w:r>
    </w:p>
    <w:p>
      <w:pPr>
        <w:pStyle w:val="BodyText"/>
      </w:pPr>
      <m:oMathPara>
        <m:oMathParaPr>
          <m:jc m:val="center"/>
        </m:oMathParaPr>
        <m:oMath>
          <m:r>
            <m:rPr>
              <m:sty m:val="p"/>
            </m:rPr>
            <m:t>log</m:t>
          </m:r>
          <m:d>
            <m:dPr>
              <m:begChr m:val="("/>
              <m:sepChr m:val=""/>
              <m:endChr m:val=")"/>
              <m:grow/>
            </m:dPr>
            <m:e>
              <m:sSub>
                <m:e>
                  <m:r>
                    <m:t>S</m:t>
                  </m:r>
                </m:e>
                <m:sub>
                  <m:r>
                    <m:t>t</m:t>
                  </m:r>
                  <m:r>
                    <m:rPr>
                      <m:sty m:val="p"/>
                    </m:rPr>
                    <m:t>+</m:t>
                  </m:r>
                  <m:r>
                    <m:t>1</m:t>
                  </m:r>
                  <m:r>
                    <m:rPr>
                      <m:sty m:val="p"/>
                    </m:rPr>
                    <m:t>,</m:t>
                  </m:r>
                  <m:r>
                    <m:t>a</m:t>
                  </m:r>
                </m:sub>
              </m:sSub>
            </m:e>
          </m:d>
          <m:r>
            <m:rPr>
              <m:sty m:val="p"/>
            </m:rPr>
            <m:t>=</m:t>
          </m:r>
          <m:r>
            <m:rPr>
              <m:sty m:val="p"/>
            </m:rPr>
            <m:t>log</m:t>
          </m:r>
          <m:d>
            <m:dPr>
              <m:begChr m:val="("/>
              <m:sepChr m:val=""/>
              <m:endChr m:val=")"/>
              <m:grow/>
            </m:dPr>
            <m:e>
              <m:sSub>
                <m:e>
                  <m:r>
                    <m:t>S</m:t>
                  </m:r>
                </m:e>
                <m:sub>
                  <m:r>
                    <m:t>t</m:t>
                  </m:r>
                  <m:r>
                    <m:rPr>
                      <m:sty m:val="p"/>
                    </m:rPr>
                    <m:t>+</m:t>
                  </m:r>
                  <m:r>
                    <m:t>1</m:t>
                  </m:r>
                  <m:r>
                    <m:rPr>
                      <m:sty m:val="p"/>
                    </m:rPr>
                    <m:t>,</m:t>
                  </m:r>
                  <m:r>
                    <m:t>n</m:t>
                  </m:r>
                  <m:r>
                    <m:t>s</m:t>
                  </m:r>
                  <m:r>
                    <m:t>e</m:t>
                  </m:r>
                  <m:r>
                    <m:t>l</m:t>
                  </m:r>
                </m:sub>
              </m:sSub>
            </m:e>
          </m:d>
          <m:r>
            <m:t> </m:t>
          </m:r>
          <m:r>
            <m:rPr>
              <m:nor/>
              <m:sty m:val="p"/>
            </m:rPr>
            <m:t>for </m:t>
          </m:r>
          <m:r>
            <m:t>a</m:t>
          </m:r>
          <m:r>
            <m:rPr>
              <m:sty m:val="p"/>
            </m:rPr>
            <m:t>=</m:t>
          </m:r>
          <m:r>
            <m:t>n</m:t>
          </m:r>
          <m:r>
            <m:t>s</m:t>
          </m:r>
          <m:r>
            <m:t>e</m:t>
          </m:r>
          <m:r>
            <m:t>l</m:t>
          </m:r>
          <m:r>
            <m:rPr>
              <m:sty m:val="p"/>
            </m:rPr>
            <m:t>+</m:t>
          </m:r>
          <m:r>
            <m:t>1</m:t>
          </m:r>
          <m:r>
            <m:rPr>
              <m:sty m:val="p"/>
            </m:rPr>
            <m:t>,</m:t>
          </m:r>
          <m:r>
            <m:rPr>
              <m:sty m:val="p"/>
            </m:rPr>
            <m:t>.</m:t>
          </m:r>
          <m:r>
            <m:rPr>
              <m:sty m:val="p"/>
            </m:rPr>
            <m:t>.</m:t>
          </m:r>
          <m:r>
            <m:rPr>
              <m:sty m:val="p"/>
            </m:rPr>
            <m:t>.</m:t>
          </m:r>
          <m:r>
            <m:rPr>
              <m:sty m:val="p"/>
            </m:rPr>
            <m:t>,</m:t>
          </m:r>
          <m:r>
            <m:t>n</m:t>
          </m:r>
          <m:r>
            <m:t>a</m:t>
          </m:r>
          <m:r>
            <m:t>g</m:t>
          </m:r>
          <m:r>
            <m:t>e</m:t>
          </m:r>
          <m:r>
            <m:t>s</m:t>
          </m:r>
        </m:oMath>
      </m:oMathPara>
    </w:p>
    <w:p>
      <w:pPr>
        <w:pStyle w:val="FirstParagraph"/>
      </w:pPr>
      <w:r>
        <w:t xml:space="preserve">where:</w:t>
      </w:r>
      <w:r>
        <w:t xml:space="preserve"> </w:t>
      </w:r>
      <w:r>
        <w:t xml:space="preserve">-</w:t>
      </w:r>
      <w:r>
        <w:t xml:space="preserve"> </w:t>
      </w:r>
      <m:oMath>
        <m:sSub>
          <m:e>
            <m:r>
              <m:t>δ</m:t>
            </m:r>
          </m:e>
          <m:sub>
            <m:r>
              <m:t>i</m:t>
            </m:r>
            <m:r>
              <m:t>i</m:t>
            </m:r>
            <m:r>
              <m:rPr>
                <m:sty m:val="p"/>
              </m:rPr>
              <m:t>,</m:t>
            </m:r>
            <m:r>
              <m:t>a</m:t>
            </m:r>
          </m:sub>
        </m:sSub>
      </m:oMath>
      <w:r>
        <w:t xml:space="preserve"> </w:t>
      </w:r>
      <w:r>
        <w:t xml:space="preserve">is the selectivity deviation for change event</w:t>
      </w:r>
      <w:r>
        <w:t xml:space="preserve"> </w:t>
      </w:r>
      <m:oMath>
        <m:r>
          <m:t>i</m:t>
        </m:r>
        <m:r>
          <m:t>i</m:t>
        </m:r>
      </m:oMath>
      <w:r>
        <w:t xml:space="preserve"> </w:t>
      </w:r>
      <w:r>
        <w:t xml:space="preserve">and age</w:t>
      </w:r>
      <w:r>
        <w:t xml:space="preserve"> </w:t>
      </w:r>
      <m:oMath>
        <m:r>
          <m:t>a</m:t>
        </m:r>
      </m:oMath>
      <w:r>
        <w:t xml:space="preserve"> </w:t>
      </w:r>
      <w:r>
        <w:t xml:space="preserve">-</w:t>
      </w:r>
      <w:r>
        <w:t xml:space="preserve"> </w:t>
      </w:r>
      <m:oMath>
        <m:r>
          <m:t>i</m:t>
        </m:r>
        <m:r>
          <m:t>i</m:t>
        </m:r>
      </m:oMath>
      <w:r>
        <w:t xml:space="preserve"> </w:t>
      </w:r>
      <w:r>
        <w:t xml:space="preserve">is the index of the current selectivity change event</w:t>
      </w:r>
    </w:p>
    <w:bookmarkEnd w:id="203"/>
    <w:bookmarkStart w:id="204" w:name="annual-normalization"/>
    <w:p>
      <w:pPr>
        <w:pStyle w:val="Heading3"/>
      </w:pPr>
      <w:r>
        <w:t xml:space="preserve">Annual Normalization</w:t>
      </w:r>
    </w:p>
    <w:p>
      <w:pPr>
        <w:pStyle w:val="FirstParagraph"/>
      </w:pPr>
      <w:r>
        <w:t xml:space="preserve">For each year</w:t>
      </w:r>
      <w:r>
        <w:t xml:space="preserve"> </w:t>
      </w:r>
      <m:oMath>
        <m:r>
          <m:t>t</m:t>
        </m:r>
      </m:oMath>
      <w:r>
        <w:t xml:space="preserve">:</w:t>
      </w:r>
    </w:p>
    <w:p>
      <w:pPr>
        <w:pStyle w:val="BodyText"/>
      </w:pPr>
      <m:oMathPara>
        <m:oMathParaPr>
          <m:jc m:val="center"/>
        </m:oMathParaPr>
        <m:oMath>
          <m:r>
            <m:rPr>
              <m:sty m:val="p"/>
            </m:rPr>
            <m:t>log</m:t>
          </m:r>
          <m:d>
            <m:dPr>
              <m:begChr m:val="("/>
              <m:sepChr m:val=""/>
              <m:endChr m:val=")"/>
              <m:grow/>
            </m:dPr>
            <m:e>
              <m:sSub>
                <m:e>
                  <m:r>
                    <m:t>S</m:t>
                  </m:r>
                </m:e>
                <m:sub>
                  <m:r>
                    <m:t>t</m:t>
                  </m:r>
                  <m:r>
                    <m:rPr>
                      <m:sty m:val="p"/>
                    </m:rPr>
                    <m:t>,</m:t>
                  </m:r>
                  <m:r>
                    <m:t>a</m:t>
                  </m:r>
                </m:sub>
              </m:sSub>
            </m:e>
          </m:d>
          <m:r>
            <m:rPr>
              <m:sty m:val="p"/>
            </m:rPr>
            <m:t>=</m:t>
          </m:r>
          <m:r>
            <m:rPr>
              <m:sty m:val="p"/>
            </m:rPr>
            <m:t>log</m:t>
          </m:r>
          <m:d>
            <m:dPr>
              <m:begChr m:val="("/>
              <m:sepChr m:val=""/>
              <m:endChr m:val=")"/>
              <m:grow/>
            </m:dPr>
            <m:e>
              <m:sSub>
                <m:e>
                  <m:r>
                    <m:t>S</m:t>
                  </m:r>
                </m:e>
                <m:sub>
                  <m:r>
                    <m:t>t</m:t>
                  </m:r>
                  <m:r>
                    <m:rPr>
                      <m:sty m:val="p"/>
                    </m:rPr>
                    <m:t>,</m:t>
                  </m:r>
                  <m:r>
                    <m:t>a</m:t>
                  </m:r>
                </m:sub>
              </m:sSub>
            </m:e>
          </m:d>
          <m:r>
            <m:rPr>
              <m:sty m:val="p"/>
            </m:rPr>
            <m:t>−</m:t>
          </m:r>
          <m:r>
            <m:rPr>
              <m:sty m:val="p"/>
            </m:rPr>
            <m:t>log</m:t>
          </m:r>
          <m:d>
            <m:dPr>
              <m:begChr m:val="("/>
              <m:sepChr m:val=""/>
              <m:endChr m:val=")"/>
              <m:grow/>
            </m:dPr>
            <m:e>
              <m:f>
                <m:fPr>
                  <m:type m:val="bar"/>
                </m:fPr>
                <m:num>
                  <m:r>
                    <m:t>1</m:t>
                  </m:r>
                </m:num>
                <m:den>
                  <m:r>
                    <m:t>n</m:t>
                  </m:r>
                  <m:r>
                    <m:t>a</m:t>
                  </m:r>
                  <m:r>
                    <m:t>g</m:t>
                  </m:r>
                  <m:r>
                    <m:t>e</m:t>
                  </m:r>
                  <m:r>
                    <m:t>s</m:t>
                  </m:r>
                </m:den>
              </m:f>
              <m:nary>
                <m:naryPr>
                  <m:chr m:val="∑"/>
                  <m:limLoc m:val="undOvr"/>
                  <m:subHide m:val="off"/>
                  <m:supHide m:val="off"/>
                </m:naryPr>
                <m:sub>
                  <m:r>
                    <m:t>a</m:t>
                  </m:r>
                  <m:r>
                    <m:rPr>
                      <m:sty m:val="p"/>
                    </m:rPr>
                    <m:t>=</m:t>
                  </m:r>
                  <m:r>
                    <m:t>1</m:t>
                  </m:r>
                </m:sub>
                <m:sup>
                  <m:r>
                    <m:t>n</m:t>
                  </m:r>
                  <m:r>
                    <m:t>a</m:t>
                  </m:r>
                  <m:r>
                    <m:t>g</m:t>
                  </m:r>
                  <m:r>
                    <m:t>e</m:t>
                  </m:r>
                  <m:r>
                    <m:t>s</m:t>
                  </m:r>
                </m:sup>
                <m:e>
                  <m:r>
                    <m:rPr>
                      <m:sty m:val="p"/>
                    </m:rPr>
                    <m:t>exp</m:t>
                  </m:r>
                </m:e>
              </m:nary>
              <m:d>
                <m:dPr>
                  <m:begChr m:val="("/>
                  <m:sepChr m:val=""/>
                  <m:endChr m:val=")"/>
                  <m:grow/>
                </m:dPr>
                <m:e>
                  <m:r>
                    <m:rPr>
                      <m:sty m:val="p"/>
                    </m:rPr>
                    <m:t>log</m:t>
                  </m:r>
                  <m:d>
                    <m:dPr>
                      <m:begChr m:val="("/>
                      <m:sepChr m:val=""/>
                      <m:endChr m:val=")"/>
                      <m:grow/>
                    </m:dPr>
                    <m:e>
                      <m:sSub>
                        <m:e>
                          <m:r>
                            <m:t>S</m:t>
                          </m:r>
                        </m:e>
                        <m:sub>
                          <m:r>
                            <m:t>t</m:t>
                          </m:r>
                          <m:r>
                            <m:rPr>
                              <m:sty m:val="p"/>
                            </m:rPr>
                            <m:t>,</m:t>
                          </m:r>
                          <m:r>
                            <m:t>a</m:t>
                          </m:r>
                        </m:sub>
                      </m:sSub>
                    </m:e>
                  </m:d>
                </m:e>
              </m:d>
            </m:e>
          </m:d>
        </m:oMath>
      </m:oMathPara>
    </w:p>
    <w:p>
      <w:pPr>
        <w:pStyle w:val="FirstParagraph"/>
      </w:pPr>
      <w:r>
        <w:t xml:space="preserve">and the actual selectivity is:</w:t>
      </w:r>
    </w:p>
    <w:p>
      <w:pPr>
        <w:pStyle w:val="BodyText"/>
      </w:pPr>
      <m:oMathPara>
        <m:oMathParaPr>
          <m:jc m:val="center"/>
        </m:oMathParaPr>
        <m:oMath>
          <m:sSub>
            <m:e>
              <m:r>
                <m:t>S</m:t>
              </m:r>
            </m:e>
            <m:sub>
              <m:r>
                <m:t>t</m:t>
              </m:r>
              <m:r>
                <m:rPr>
                  <m:sty m:val="p"/>
                </m:rPr>
                <m:t>,</m:t>
              </m:r>
              <m:r>
                <m:t>a</m:t>
              </m:r>
            </m:sub>
          </m:sSub>
          <m:r>
            <m:rPr>
              <m:sty m:val="p"/>
            </m:rPr>
            <m:t>=</m:t>
          </m:r>
          <m:r>
            <m:rPr>
              <m:sty m:val="p"/>
            </m:rPr>
            <m:t>exp</m:t>
          </m:r>
          <m:d>
            <m:dPr>
              <m:begChr m:val="("/>
              <m:sepChr m:val=""/>
              <m:endChr m:val=")"/>
              <m:grow/>
            </m:dPr>
            <m:e>
              <m:r>
                <m:rPr>
                  <m:sty m:val="p"/>
                </m:rPr>
                <m:t>log</m:t>
              </m:r>
              <m:d>
                <m:dPr>
                  <m:begChr m:val="("/>
                  <m:sepChr m:val=""/>
                  <m:endChr m:val=")"/>
                  <m:grow/>
                </m:dPr>
                <m:e>
                  <m:sSub>
                    <m:e>
                      <m:r>
                        <m:t>S</m:t>
                      </m:r>
                    </m:e>
                    <m:sub>
                      <m:r>
                        <m:t>t</m:t>
                      </m:r>
                      <m:r>
                        <m:rPr>
                          <m:sty m:val="p"/>
                        </m:rPr>
                        <m:t>,</m:t>
                      </m:r>
                      <m:r>
                        <m:t>a</m:t>
                      </m:r>
                    </m:sub>
                  </m:sSub>
                </m:e>
              </m:d>
            </m:e>
          </m:d>
        </m:oMath>
      </m:oMathPara>
    </w:p>
    <w:bookmarkEnd w:id="204"/>
    <w:bookmarkEnd w:id="205"/>
    <w:bookmarkStart w:id="207" w:name="constraints-and-properties"/>
    <w:p>
      <w:pPr>
        <w:pStyle w:val="Heading2"/>
      </w:pPr>
      <w:r>
        <w:t xml:space="preserve">Constraints and Properties</w:t>
      </w:r>
    </w:p>
    <w:p>
      <w:pPr>
        <w:numPr>
          <w:ilvl w:val="0"/>
          <w:numId w:val="1003"/>
        </w:numPr>
      </w:pPr>
      <w:r>
        <w:rPr>
          <w:b/>
          <w:bCs/>
        </w:rPr>
        <w:t xml:space="preserve">Normalization Constraint</w:t>
      </w:r>
      <w:r>
        <w:t xml:space="preserve">:</w:t>
      </w:r>
    </w:p>
    <w:p>
      <w:pPr>
        <w:pStyle w:val="BodyText"/>
      </w:pPr>
      <m:oMathPara>
        <m:oMathParaPr>
          <m:jc m:val="center"/>
        </m:oMathParaPr>
        <m:oMath>
          <m:nary>
            <m:naryPr>
              <m:chr m:val="∏"/>
              <m:limLoc m:val="undOvr"/>
              <m:subHide m:val="off"/>
              <m:supHide m:val="off"/>
            </m:naryPr>
            <m:sub>
              <m:r>
                <m:t>a</m:t>
              </m:r>
              <m:r>
                <m:rPr>
                  <m:sty m:val="p"/>
                </m:rPr>
                <m:t>=</m:t>
              </m:r>
              <m:r>
                <m:t>1</m:t>
              </m:r>
            </m:sub>
            <m:sup>
              <m:r>
                <m:t>n</m:t>
              </m:r>
              <m:r>
                <m:t>a</m:t>
              </m:r>
              <m:r>
                <m:t>g</m:t>
              </m:r>
              <m:r>
                <m:t>e</m:t>
              </m:r>
              <m:r>
                <m:t>s</m:t>
              </m:r>
            </m:sup>
            <m:e>
              <m:sSubSup>
                <m:e>
                  <m:r>
                    <m:t>S</m:t>
                  </m:r>
                </m:e>
                <m:sub>
                  <m:r>
                    <m:t>t</m:t>
                  </m:r>
                  <m:r>
                    <m:rPr>
                      <m:sty m:val="p"/>
                    </m:rPr>
                    <m:t>,</m:t>
                  </m:r>
                  <m:r>
                    <m:t>a</m:t>
                  </m:r>
                </m:sub>
                <m:sup>
                  <m:r>
                    <m:t>1</m:t>
                  </m:r>
                  <m:r>
                    <m:rPr>
                      <m:sty m:val="p"/>
                    </m:rPr>
                    <m:t>/</m:t>
                  </m:r>
                  <m:r>
                    <m:t>n</m:t>
                  </m:r>
                  <m:r>
                    <m:t>a</m:t>
                  </m:r>
                  <m:r>
                    <m:t>g</m:t>
                  </m:r>
                  <m:r>
                    <m:t>e</m:t>
                  </m:r>
                  <m:r>
                    <m:t>s</m:t>
                  </m:r>
                </m:sup>
              </m:sSubSup>
            </m:e>
          </m:nary>
          <m:r>
            <m:rPr>
              <m:sty m:val="p"/>
            </m:rPr>
            <m:t>=</m:t>
          </m:r>
          <m:r>
            <m:t>1</m:t>
          </m:r>
          <m:r>
            <m:t> </m:t>
          </m:r>
          <m:r>
            <m:rPr>
              <m:sty m:val="p"/>
            </m:rPr>
            <m:t>∀</m:t>
          </m:r>
          <m:r>
            <m:t>t</m:t>
          </m:r>
        </m:oMath>
      </m:oMathPara>
    </w:p>
    <w:p>
      <w:pPr>
        <w:numPr>
          <w:ilvl w:val="0"/>
          <w:numId w:val="1003"/>
        </w:numPr>
      </w:pPr>
      <w:r>
        <w:rPr>
          <w:b/>
          <w:bCs/>
        </w:rPr>
        <w:t xml:space="preserve">Dome-shaped Constraint</w:t>
      </w:r>
      <w:r>
        <w:t xml:space="preserve">:</w:t>
      </w:r>
    </w:p>
    <w:p>
      <w:pPr>
        <w:pStyle w:val="BodyText"/>
      </w:pPr>
      <m:oMathPara>
        <m:oMathParaPr>
          <m:jc m:val="center"/>
        </m:oMathParaPr>
        <m:oMath>
          <m:sSub>
            <m:e>
              <m:r>
                <m:t>S</m:t>
              </m:r>
            </m:e>
            <m:sub>
              <m:r>
                <m:t>t</m:t>
              </m:r>
              <m:r>
                <m:rPr>
                  <m:sty m:val="p"/>
                </m:rPr>
                <m:t>,</m:t>
              </m:r>
              <m:r>
                <m:t>a</m:t>
              </m:r>
            </m:sub>
          </m:sSub>
          <m:r>
            <m:rPr>
              <m:sty m:val="p"/>
            </m:rPr>
            <m:t>=</m:t>
          </m:r>
          <m:sSub>
            <m:e>
              <m:r>
                <m:t>S</m:t>
              </m:r>
            </m:e>
            <m:sub>
              <m:r>
                <m:t>t</m:t>
              </m:r>
              <m:r>
                <m:rPr>
                  <m:sty m:val="p"/>
                </m:rPr>
                <m:t>,</m:t>
              </m:r>
              <m:r>
                <m:t>n</m:t>
              </m:r>
              <m:r>
                <m:t>s</m:t>
              </m:r>
              <m:r>
                <m:t>e</m:t>
              </m:r>
              <m:r>
                <m:t>l</m:t>
              </m:r>
            </m:sub>
          </m:sSub>
          <m:r>
            <m:t> </m:t>
          </m:r>
          <m:r>
            <m:rPr>
              <m:nor/>
              <m:sty m:val="p"/>
            </m:rPr>
            <m:t>for </m:t>
          </m:r>
          <m:r>
            <m:t>a</m:t>
          </m:r>
          <m:r>
            <m:rPr>
              <m:sty m:val="p"/>
            </m:rPr>
            <m:t>&gt;</m:t>
          </m:r>
          <m:r>
            <m:t>n</m:t>
          </m:r>
          <m:r>
            <m:t>s</m:t>
          </m:r>
          <m:r>
            <m:t>e</m:t>
          </m:r>
          <m:r>
            <m:t>l</m:t>
          </m:r>
        </m:oMath>
      </m:oMathPara>
    </w:p>
    <w:p>
      <w:pPr>
        <w:numPr>
          <w:ilvl w:val="0"/>
          <w:numId w:val="1003"/>
        </w:numPr>
      </w:pPr>
      <w:r>
        <w:rPr>
          <w:b/>
          <w:bCs/>
        </w:rPr>
        <w:t xml:space="preserve">Continuity</w:t>
      </w:r>
      <w:r>
        <w:t xml:space="preserve">: Selectivity changes only occur in specified years (</w:t>
      </w:r>
      <w:r>
        <w:rPr>
          <w:rStyle w:val="VerbatimChar"/>
        </w:rPr>
        <w:t xml:space="preserve">yrs_ch_fsh</w:t>
      </w:r>
      <w:r>
        <w:t xml:space="preserve">)</w:t>
      </w:r>
    </w:p>
    <w:p>
      <w:pPr>
        <w:numPr>
          <w:ilvl w:val="0"/>
          <w:numId w:val="1003"/>
        </w:numPr>
      </w:pPr>
      <w:r>
        <w:rPr>
          <w:b/>
          <w:bCs/>
        </w:rPr>
        <w:t xml:space="preserve">Deviation Structure</w:t>
      </w:r>
      <w:r>
        <w:t xml:space="preserve">:</w:t>
      </w:r>
    </w:p>
    <w:p>
      <w:pPr>
        <w:pStyle w:val="BodyText"/>
      </w:pPr>
      <m:oMathPara>
        <m:oMathParaPr>
          <m:jc m:val="center"/>
        </m:oMathParaPr>
        <m:oMath>
          <m:sSub>
            <m:e>
              <m:r>
                <m:t>δ</m:t>
              </m:r>
            </m:e>
            <m:sub>
              <m:r>
                <m:t>i</m:t>
              </m:r>
              <m:r>
                <m:t>i</m:t>
              </m:r>
            </m:sub>
          </m:sSub>
          <m:r>
            <m:rPr>
              <m:sty m:val="p"/>
            </m:rPr>
            <m:t>∼</m:t>
          </m:r>
          <m:r>
            <m:rPr>
              <m:nor/>
              <m:sty m:val="p"/>
            </m:rPr>
            <m:t>estimated deviations with penalties</m:t>
          </m:r>
        </m:oMath>
      </m:oMathPara>
    </w:p>
    <w:bookmarkStart w:id="206" w:name="implementation-notes"/>
    <w:p>
      <w:pPr>
        <w:pStyle w:val="Heading3"/>
      </w:pPr>
      <w:r>
        <w:t xml:space="preserve">Implementation Notes</w:t>
      </w:r>
    </w:p>
    <w:p>
      <w:pPr>
        <w:pStyle w:val="Compact"/>
        <w:numPr>
          <w:ilvl w:val="0"/>
          <w:numId w:val="1004"/>
        </w:numPr>
      </w:pPr>
      <w:r>
        <w:t xml:space="preserve">Base coefficients</w:t>
      </w:r>
      <w:r>
        <w:t xml:space="preserve"> </w:t>
      </w:r>
      <m:oMath>
        <m:r>
          <m:rPr>
            <m:sty m:val="b"/>
          </m:rPr>
          <m:t>c</m:t>
        </m:r>
      </m:oMath>
      <w:r>
        <w:t xml:space="preserve"> </w:t>
      </w:r>
      <w:r>
        <w:t xml:space="preserve">are estimated parameters</w:t>
      </w:r>
    </w:p>
    <w:p>
      <w:pPr>
        <w:pStyle w:val="Compact"/>
        <w:numPr>
          <w:ilvl w:val="0"/>
          <w:numId w:val="1004"/>
        </w:numPr>
      </w:pPr>
      <w:r>
        <w:t xml:space="preserve">Deviations</w:t>
      </w:r>
      <w:r>
        <w:t xml:space="preserve"> </w:t>
      </w:r>
      <m:oMath>
        <m:r>
          <m:rPr>
            <m:sty m:val="b"/>
          </m:rPr>
          <m:t>δ</m:t>
        </m:r>
      </m:oMath>
      <w:r>
        <w:t xml:space="preserve"> </w:t>
      </w:r>
      <w:r>
        <w:t xml:space="preserve">are typically penalized to prevent overfitting</w:t>
      </w:r>
    </w:p>
    <w:p>
      <w:pPr>
        <w:pStyle w:val="Compact"/>
        <w:numPr>
          <w:ilvl w:val="0"/>
          <w:numId w:val="1004"/>
        </w:numPr>
      </w:pPr>
      <w:r>
        <w:t xml:space="preserve">The plateau assumption prevents unrealistic selectivity patterns for older ages</w:t>
      </w:r>
    </w:p>
    <w:p>
      <w:pPr>
        <w:pStyle w:val="Compact"/>
        <w:numPr>
          <w:ilvl w:val="0"/>
          <w:numId w:val="1004"/>
        </w:numPr>
      </w:pPr>
      <w:r>
        <w:t xml:space="preserve">Geometric mean normalization maintains interpretability relative to fishing mortality</w:t>
      </w:r>
    </w:p>
    <w:bookmarkEnd w:id="206"/>
    <w:bookmarkEnd w:id="207"/>
    <w:bookmarkStart w:id="208" w:name="sec-penalty"/>
    <w:p>
      <w:pPr>
        <w:pStyle w:val="Heading2"/>
      </w:pPr>
      <w:r>
        <w:t xml:space="preserve">Regularization and Penalty Terms</w:t>
      </w:r>
    </w:p>
    <w:p>
      <w:pPr>
        <w:pStyle w:val="FirstParagraph"/>
      </w:pPr>
      <w:r>
        <w:t xml:space="preserve">The selectivity model includes several penalty terms to ensure realistic and stable estimates:</w:t>
      </w:r>
      <w:r>
        <w:t xml:space="preserve"> </w:t>
      </w:r>
      <w:r>
        <w:t xml:space="preserve">Penalty Term 1: Deviation Magnitude Penalty</w:t>
      </w:r>
      <w:r>
        <w:t xml:space="preserve"> </w:t>
      </w:r>
      <m:oMath>
        <m:sSub>
          <m:e>
            <m:r>
              <m:t>P</m:t>
            </m:r>
          </m:e>
          <m:sub>
            <m:r>
              <m:t>1</m:t>
            </m:r>
          </m:sub>
        </m:sSub>
        <m:r>
          <m:rPr>
            <m:sty m:val="p"/>
          </m:rPr>
          <m:t>=</m:t>
        </m:r>
        <m:f>
          <m:fPr>
            <m:type m:val="bar"/>
          </m:fPr>
          <m:num>
            <m:sSub>
              <m:e>
                <m:r>
                  <m:t>λ</m:t>
                </m:r>
              </m:e>
              <m:sub>
                <m:r>
                  <m:t>1</m:t>
                </m:r>
              </m:sub>
            </m:sSub>
          </m:num>
          <m:den>
            <m:sSub>
              <m:e>
                <m:r>
                  <m:t>N</m:t>
                </m:r>
              </m:e>
              <m:sub>
                <m:r>
                  <m:t>g</m:t>
                </m:r>
                <m:r>
                  <m:t>r</m:t>
                </m:r>
                <m:r>
                  <m:t>o</m:t>
                </m:r>
                <m:r>
                  <m:t>u</m:t>
                </m:r>
                <m:r>
                  <m:t>p</m:t>
                </m:r>
                <m:r>
                  <m:t>s</m:t>
                </m:r>
              </m:sub>
            </m:sSub>
          </m:den>
        </m:f>
        <m:nary>
          <m:naryPr>
            <m:chr m:val="∑"/>
            <m:limLoc m:val="undOvr"/>
            <m:subHide m:val="off"/>
            <m:supHide m:val="off"/>
          </m:naryPr>
          <m:sub>
            <m:r>
              <m:t>i</m:t>
            </m:r>
            <m:r>
              <m:rPr>
                <m:sty m:val="p"/>
              </m:rPr>
              <m:t>=</m:t>
            </m:r>
            <m:r>
              <m:t>1</m:t>
            </m:r>
          </m:sub>
          <m:sup>
            <m:sSub>
              <m:e>
                <m:r>
                  <m:t>N</m:t>
                </m:r>
              </m:e>
              <m:sub>
                <m:r>
                  <m:t>c</m:t>
                </m:r>
                <m:r>
                  <m:t>h</m:t>
                </m:r>
                <m:r>
                  <m:t>a</m:t>
                </m:r>
                <m:r>
                  <m:t>n</m:t>
                </m:r>
                <m:r>
                  <m:t>g</m:t>
                </m:r>
                <m:r>
                  <m:t>e</m:t>
                </m:r>
                <m:r>
                  <m:t>s</m:t>
                </m:r>
              </m:sub>
            </m:sSub>
          </m:sup>
          <m:e>
            <m:nary>
              <m:naryPr>
                <m:chr m:val="∑"/>
                <m:limLoc m:val="undOvr"/>
                <m:subHide m:val="off"/>
                <m:supHide m:val="off"/>
              </m:naryPr>
              <m:sub>
                <m:r>
                  <m:t>a</m:t>
                </m:r>
                <m:r>
                  <m:rPr>
                    <m:sty m:val="p"/>
                  </m:rPr>
                  <m:t>=</m:t>
                </m:r>
                <m:r>
                  <m:t>1</m:t>
                </m:r>
              </m:sub>
              <m:sup>
                <m:r>
                  <m:t>n</m:t>
                </m:r>
                <m:r>
                  <m:t>s</m:t>
                </m:r>
                <m:r>
                  <m:t>e</m:t>
                </m:r>
                <m:r>
                  <m:t>l</m:t>
                </m:r>
              </m:sup>
              <m:e>
                <m:sSubSup>
                  <m:e>
                    <m:r>
                      <m:t>δ</m:t>
                    </m:r>
                  </m:e>
                  <m:sub>
                    <m:r>
                      <m:t>i</m:t>
                    </m:r>
                    <m:r>
                      <m:rPr>
                        <m:sty m:val="p"/>
                      </m:rPr>
                      <m:t>,</m:t>
                    </m:r>
                    <m:r>
                      <m:t>a</m:t>
                    </m:r>
                  </m:sub>
                  <m:sup>
                    <m:r>
                      <m:t>2</m:t>
                    </m:r>
                  </m:sup>
                </m:sSubSup>
              </m:e>
            </m:nary>
          </m:e>
        </m:nary>
      </m:oMath>
      <w:r>
        <w:t xml:space="preserve"> </w:t>
      </w:r>
      <w:r>
        <w:t xml:space="preserve">where:</w:t>
      </w:r>
    </w:p>
    <w:p>
      <w:pPr>
        <w:pStyle w:val="BodyText"/>
      </w:pPr>
      <m:oMath>
        <m:sSub>
          <m:e>
            <m:r>
              <m:t>λ</m:t>
            </m:r>
          </m:e>
          <m:sub>
            <m:r>
              <m:t>1</m:t>
            </m:r>
          </m:sub>
        </m:sSub>
      </m:oMath>
      <w:r>
        <w:t xml:space="preserve"> </w:t>
      </w:r>
      <w:r>
        <w:t xml:space="preserve">= ctrl_flag(10) (penalty weight parameter)</w:t>
      </w:r>
      <w:r>
        <w:t xml:space="preserve"> </w:t>
      </w:r>
      <m:oMath>
        <m:sSub>
          <m:e>
            <m:r>
              <m:t>N</m:t>
            </m:r>
          </m:e>
          <m:sub>
            <m:r>
              <m:t>g</m:t>
            </m:r>
            <m:r>
              <m:t>r</m:t>
            </m:r>
            <m:r>
              <m:t>o</m:t>
            </m:r>
            <m:r>
              <m:t>u</m:t>
            </m:r>
            <m:r>
              <m:t>p</m:t>
            </m:r>
            <m:r>
              <m:t>s</m:t>
            </m:r>
          </m:sub>
        </m:sSub>
      </m:oMath>
      <w:r>
        <w:t xml:space="preserve"> </w:t>
      </w:r>
      <w:r>
        <w:t xml:space="preserve">= group_num_fsh (number of fishery groups)</w:t>
      </w:r>
      <w:r>
        <w:t xml:space="preserve"> </w:t>
      </w:r>
      <w:r>
        <w:t xml:space="preserve">This shrinks deviations toward zero when not informed by data</w:t>
      </w:r>
    </w:p>
    <w:p>
      <w:pPr>
        <w:pStyle w:val="BodyText"/>
      </w:pPr>
      <w:r>
        <w:t xml:space="preserve">Penalty Term 2: Base Selectivity Smoothness Penalty</w:t>
      </w:r>
      <w:r>
        <w:t xml:space="preserve"> </w:t>
      </w:r>
      <m:oMath>
        <m:sSub>
          <m:e>
            <m:r>
              <m:t>P</m:t>
            </m:r>
          </m:e>
          <m:sub>
            <m:r>
              <m:t>2</m:t>
            </m:r>
          </m:sub>
        </m:sSub>
        <m:r>
          <m:rPr>
            <m:sty m:val="p"/>
          </m:rPr>
          <m:t>=</m:t>
        </m:r>
        <m:f>
          <m:fPr>
            <m:type m:val="bar"/>
          </m:fPr>
          <m:num>
            <m:sSub>
              <m:e>
                <m:r>
                  <m:t>λ</m:t>
                </m:r>
              </m:e>
              <m:sub>
                <m:r>
                  <m:t>2</m:t>
                </m:r>
              </m:sub>
            </m:sSub>
          </m:num>
          <m:den>
            <m:sSub>
              <m:e>
                <m:r>
                  <m:t>N</m:t>
                </m:r>
              </m:e>
              <m:sub>
                <m:r>
                  <m:t>c</m:t>
                </m:r>
                <m:r>
                  <m:t>h</m:t>
                </m:r>
                <m:r>
                  <m:t>a</m:t>
                </m:r>
                <m:r>
                  <m:t>n</m:t>
                </m:r>
                <m:r>
                  <m:t>g</m:t>
                </m:r>
                <m:r>
                  <m:t>e</m:t>
                </m:r>
                <m:r>
                  <m:t>s</m:t>
                </m:r>
              </m:sub>
            </m:sSub>
          </m:den>
        </m:f>
        <m:nary>
          <m:naryPr>
            <m:chr m:val="∑"/>
            <m:limLoc m:val="undOvr"/>
            <m:subHide m:val="off"/>
            <m:supHide m:val="off"/>
          </m:naryPr>
          <m:sub>
            <m:r>
              <m:t>a</m:t>
            </m:r>
            <m:r>
              <m:rPr>
                <m:sty m:val="p"/>
              </m:rPr>
              <m:t>=</m:t>
            </m:r>
            <m:r>
              <m:t>1</m:t>
            </m:r>
          </m:sub>
          <m:sup>
            <m:r>
              <m:t>n</m:t>
            </m:r>
            <m:r>
              <m:t>s</m:t>
            </m:r>
            <m:r>
              <m:t>e</m:t>
            </m:r>
            <m:r>
              <m:t>l</m:t>
            </m:r>
            <m:r>
              <m:rPr>
                <m:sty m:val="p"/>
              </m:rPr>
              <m:t>−</m:t>
            </m:r>
            <m:r>
              <m:t>2</m:t>
            </m:r>
          </m:sup>
          <m:e>
            <m:sSup>
              <m:e>
                <m:d>
                  <m:dPr>
                    <m:begChr m:val="["/>
                    <m:sepChr m:val=""/>
                    <m:endChr m:val="]"/>
                    <m:grow/>
                  </m:dPr>
                  <m:e>
                    <m:sSup>
                      <m:e>
                        <m:r>
                          <m:rPr>
                            <m:sty m:val="p"/>
                          </m:rPr>
                          <m:t>∇</m:t>
                        </m:r>
                      </m:e>
                      <m:sup>
                        <m:r>
                          <m:t>2</m:t>
                        </m:r>
                      </m:sup>
                    </m:sSup>
                    <m:r>
                      <m:rPr>
                        <m:sty m:val="p"/>
                      </m:rPr>
                      <m:t>log</m:t>
                    </m:r>
                    <m:d>
                      <m:dPr>
                        <m:begChr m:val="("/>
                        <m:sepChr m:val=""/>
                        <m:endChr m:val=")"/>
                        <m:grow/>
                      </m:dPr>
                      <m:e>
                        <m:sSub>
                          <m:e>
                            <m:r>
                              <m:t>S</m:t>
                            </m:r>
                          </m:e>
                          <m:sub>
                            <m:r>
                              <m:t>s</m:t>
                            </m:r>
                            <m:r>
                              <m:t>t</m:t>
                            </m:r>
                            <m:r>
                              <m:t>y</m:t>
                            </m:r>
                            <m:r>
                              <m:t>r</m:t>
                            </m:r>
                            <m:r>
                              <m:rPr>
                                <m:sty m:val="p"/>
                              </m:rPr>
                              <m:t>,</m:t>
                            </m:r>
                            <m:r>
                              <m:t>a</m:t>
                            </m:r>
                          </m:sub>
                        </m:sSub>
                      </m:e>
                    </m:d>
                  </m:e>
                </m:d>
              </m:e>
              <m:sup>
                <m:r>
                  <m:t>2</m:t>
                </m:r>
              </m:sup>
            </m:sSup>
          </m:e>
        </m:nary>
      </m:oMath>
      <w:r>
        <w:t xml:space="preserve"> </w:t>
      </w:r>
      <w:r>
        <w:t xml:space="preserve">where:</w:t>
      </w:r>
    </w:p>
    <w:p>
      <w:pPr>
        <w:pStyle w:val="BodyText"/>
      </w:pPr>
      <m:oMath>
        <m:sSub>
          <m:e>
            <m:r>
              <m:t>λ</m:t>
            </m:r>
          </m:e>
          <m:sub>
            <m:r>
              <m:t>2</m:t>
            </m:r>
          </m:sub>
        </m:sSub>
      </m:oMath>
      <w:r>
        <w:t xml:space="preserve"> </w:t>
      </w:r>
      <w:r>
        <w:t xml:space="preserve">= ctrl_flag(11) (smoothness penalty weight)</w:t>
      </w:r>
      <w:r>
        <w:t xml:space="preserve"> </w:t>
      </w:r>
      <m:oMath>
        <m:sSup>
          <m:e>
            <m:r>
              <m:rPr>
                <m:sty m:val="p"/>
              </m:rPr>
              <m:t>∇</m:t>
            </m:r>
          </m:e>
          <m:sup>
            <m:r>
              <m:t>2</m:t>
            </m:r>
          </m:sup>
        </m:sSup>
        <m:r>
          <m:rPr>
            <m:sty m:val="p"/>
          </m:rPr>
          <m:t>log</m:t>
        </m:r>
        <m:d>
          <m:dPr>
            <m:begChr m:val="("/>
            <m:sepChr m:val=""/>
            <m:endChr m:val=")"/>
            <m:grow/>
          </m:dPr>
          <m:e>
            <m:sSub>
              <m:e>
                <m:r>
                  <m:t>S</m:t>
                </m:r>
              </m:e>
              <m:sub>
                <m:r>
                  <m:t>t</m:t>
                </m:r>
                <m:r>
                  <m:rPr>
                    <m:sty m:val="p"/>
                  </m:rPr>
                  <m:t>,</m:t>
                </m:r>
                <m:r>
                  <m:t>a</m:t>
                </m:r>
              </m:sub>
            </m:sSub>
          </m:e>
        </m:d>
        <m:r>
          <m:rPr>
            <m:sty m:val="p"/>
          </m:rPr>
          <m:t>=</m:t>
        </m:r>
        <m:r>
          <m:rPr>
            <m:sty m:val="p"/>
          </m:rPr>
          <m:t>log</m:t>
        </m:r>
        <m:d>
          <m:dPr>
            <m:begChr m:val="("/>
            <m:sepChr m:val=""/>
            <m:endChr m:val=")"/>
            <m:grow/>
          </m:dPr>
          <m:e>
            <m:sSub>
              <m:e>
                <m:r>
                  <m:t>S</m:t>
                </m:r>
              </m:e>
              <m:sub>
                <m:r>
                  <m:t>t</m:t>
                </m:r>
                <m:r>
                  <m:rPr>
                    <m:sty m:val="p"/>
                  </m:rPr>
                  <m:t>,</m:t>
                </m:r>
                <m:r>
                  <m:t>a</m:t>
                </m:r>
                <m:r>
                  <m:rPr>
                    <m:sty m:val="p"/>
                  </m:rPr>
                  <m:t>+</m:t>
                </m:r>
                <m:r>
                  <m:t>2</m:t>
                </m:r>
              </m:sub>
            </m:sSub>
          </m:e>
        </m:d>
        <m:r>
          <m:rPr>
            <m:sty m:val="p"/>
          </m:rPr>
          <m:t>−</m:t>
        </m:r>
        <m:r>
          <m:t>2</m:t>
        </m:r>
        <m:r>
          <m:rPr>
            <m:sty m:val="p"/>
          </m:rPr>
          <m:t>log</m:t>
        </m:r>
        <m:d>
          <m:dPr>
            <m:begChr m:val="("/>
            <m:sepChr m:val=""/>
            <m:endChr m:val=")"/>
            <m:grow/>
          </m:dPr>
          <m:e>
            <m:sSub>
              <m:e>
                <m:r>
                  <m:t>S</m:t>
                </m:r>
              </m:e>
              <m:sub>
                <m:r>
                  <m:t>t</m:t>
                </m:r>
                <m:r>
                  <m:rPr>
                    <m:sty m:val="p"/>
                  </m:rPr>
                  <m:t>,</m:t>
                </m:r>
                <m:r>
                  <m:t>a</m:t>
                </m:r>
                <m:r>
                  <m:rPr>
                    <m:sty m:val="p"/>
                  </m:rPr>
                  <m:t>+</m:t>
                </m:r>
                <m:r>
                  <m:t>1</m:t>
                </m:r>
              </m:sub>
            </m:sSub>
          </m:e>
        </m:d>
        <m:r>
          <m:rPr>
            <m:sty m:val="p"/>
          </m:rPr>
          <m:t>+</m:t>
        </m:r>
        <m:r>
          <m:rPr>
            <m:sty m:val="p"/>
          </m:rPr>
          <m:t>log</m:t>
        </m:r>
        <m:d>
          <m:dPr>
            <m:begChr m:val="("/>
            <m:sepChr m:val=""/>
            <m:endChr m:val=")"/>
            <m:grow/>
          </m:dPr>
          <m:e>
            <m:sSub>
              <m:e>
                <m:r>
                  <m:t>S</m:t>
                </m:r>
              </m:e>
              <m:sub>
                <m:r>
                  <m:t>t</m:t>
                </m:r>
                <m:r>
                  <m:rPr>
                    <m:sty m:val="p"/>
                  </m:rPr>
                  <m:t>,</m:t>
                </m:r>
                <m:r>
                  <m:t>a</m:t>
                </m:r>
              </m:sub>
            </m:sSub>
          </m:e>
        </m:d>
      </m:oMath>
      <w:r>
        <w:t xml:space="preserve"> </w:t>
      </w:r>
      <w:r>
        <w:t xml:space="preserve">(second difference)</w:t>
      </w:r>
      <w:r>
        <w:t xml:space="preserve"> </w:t>
      </w:r>
      <w:r>
        <w:t xml:space="preserve">This penalizes high curvature in the base selectivity pattern</w:t>
      </w:r>
    </w:p>
    <w:p>
      <w:pPr>
        <w:pStyle w:val="BodyText"/>
      </w:pPr>
      <w:r>
        <w:t xml:space="preserve">Penalty Term 3: Change Year Smoothness Penalty</w:t>
      </w:r>
      <w:r>
        <w:t xml:space="preserve"> </w:t>
      </w:r>
      <m:oMath>
        <m:sSub>
          <m:e>
            <m:r>
              <m:t>P</m:t>
            </m:r>
          </m:e>
          <m:sub>
            <m:r>
              <m:t>3</m:t>
            </m:r>
          </m:sub>
        </m:sSub>
        <m:r>
          <m:rPr>
            <m:sty m:val="p"/>
          </m:rPr>
          <m:t>=</m:t>
        </m:r>
        <m:f>
          <m:fPr>
            <m:type m:val="bar"/>
          </m:fPr>
          <m:num>
            <m:sSub>
              <m:e>
                <m:r>
                  <m:t>λ</m:t>
                </m:r>
              </m:e>
              <m:sub>
                <m:r>
                  <m:t>2</m:t>
                </m:r>
              </m:sub>
            </m:sSub>
          </m:num>
          <m:den>
            <m:sSub>
              <m:e>
                <m:r>
                  <m:t>N</m:t>
                </m:r>
              </m:e>
              <m:sub>
                <m:r>
                  <m:t>c</m:t>
                </m:r>
                <m:r>
                  <m:t>h</m:t>
                </m:r>
                <m:r>
                  <m:t>a</m:t>
                </m:r>
                <m:r>
                  <m:t>n</m:t>
                </m:r>
                <m:r>
                  <m:t>g</m:t>
                </m:r>
                <m:r>
                  <m:t>e</m:t>
                </m:r>
                <m:r>
                  <m:t>s</m:t>
                </m:r>
              </m:sub>
            </m:sSub>
          </m:den>
        </m:f>
        <m:nary>
          <m:naryPr>
            <m:chr m:val="∑"/>
            <m:limLoc m:val="undOvr"/>
            <m:subHide m:val="off"/>
            <m:supHide m:val="off"/>
          </m:naryPr>
          <m:sub>
            <m:r>
              <m:t>i</m:t>
            </m:r>
            <m:r>
              <m:rPr>
                <m:sty m:val="p"/>
              </m:rPr>
              <m:t>=</m:t>
            </m:r>
            <m:r>
              <m:t>1</m:t>
            </m:r>
          </m:sub>
          <m:sup>
            <m:sSub>
              <m:e>
                <m:r>
                  <m:t>N</m:t>
                </m:r>
              </m:e>
              <m:sub>
                <m:r>
                  <m:t>c</m:t>
                </m:r>
                <m:r>
                  <m:t>h</m:t>
                </m:r>
                <m:r>
                  <m:t>a</m:t>
                </m:r>
                <m:r>
                  <m:t>n</m:t>
                </m:r>
                <m:r>
                  <m:t>g</m:t>
                </m:r>
                <m:r>
                  <m:t>e</m:t>
                </m:r>
                <m:r>
                  <m:t>s</m:t>
                </m:r>
              </m:sub>
            </m:sSub>
          </m:sup>
          <m:e>
            <m:nary>
              <m:naryPr>
                <m:chr m:val="∑"/>
                <m:limLoc m:val="undOvr"/>
                <m:subHide m:val="off"/>
                <m:supHide m:val="off"/>
              </m:naryPr>
              <m:sub>
                <m:r>
                  <m:t>a</m:t>
                </m:r>
                <m:r>
                  <m:rPr>
                    <m:sty m:val="p"/>
                  </m:rPr>
                  <m:t>=</m:t>
                </m:r>
                <m:r>
                  <m:t>1</m:t>
                </m:r>
              </m:sub>
              <m:sup>
                <m:r>
                  <m:t>n</m:t>
                </m:r>
                <m:r>
                  <m:t>s</m:t>
                </m:r>
                <m:r>
                  <m:t>e</m:t>
                </m:r>
                <m:r>
                  <m:t>l</m:t>
                </m:r>
                <m:r>
                  <m:rPr>
                    <m:sty m:val="p"/>
                  </m:rPr>
                  <m:t>−</m:t>
                </m:r>
                <m:r>
                  <m:t>2</m:t>
                </m:r>
              </m:sup>
              <m:e>
                <m:sSup>
                  <m:e>
                    <m:d>
                      <m:dPr>
                        <m:begChr m:val="["/>
                        <m:sepChr m:val=""/>
                        <m:endChr m:val="]"/>
                        <m:grow/>
                      </m:dPr>
                      <m:e>
                        <m:sSup>
                          <m:e>
                            <m:r>
                              <m:rPr>
                                <m:sty m:val="p"/>
                              </m:rPr>
                              <m:t>∇</m:t>
                            </m:r>
                          </m:e>
                          <m:sup>
                            <m:r>
                              <m:t>2</m:t>
                            </m:r>
                          </m:sup>
                        </m:sSup>
                        <m:r>
                          <m:rPr>
                            <m:sty m:val="p"/>
                          </m:rPr>
                          <m:t>log</m:t>
                        </m:r>
                        <m:d>
                          <m:dPr>
                            <m:begChr m:val="("/>
                            <m:sepChr m:val=""/>
                            <m:endChr m:val=")"/>
                            <m:grow/>
                          </m:dPr>
                          <m:e>
                            <m:sSub>
                              <m:e>
                                <m:r>
                                  <m:t>S</m:t>
                                </m:r>
                              </m:e>
                              <m:sub>
                                <m:sSub>
                                  <m:e>
                                    <m:r>
                                      <m:t>t</m:t>
                                    </m:r>
                                  </m:e>
                                  <m:sub>
                                    <m:r>
                                      <m:t>i</m:t>
                                    </m:r>
                                  </m:sub>
                                </m:sSub>
                                <m:r>
                                  <m:rPr>
                                    <m:sty m:val="p"/>
                                  </m:rPr>
                                  <m:t>,</m:t>
                                </m:r>
                                <m:r>
                                  <m:t>a</m:t>
                                </m:r>
                              </m:sub>
                            </m:sSub>
                          </m:e>
                        </m:d>
                      </m:e>
                    </m:d>
                  </m:e>
                  <m:sup>
                    <m:r>
                      <m:t>2</m:t>
                    </m:r>
                  </m:sup>
                </m:sSup>
              </m:e>
            </m:nary>
          </m:e>
        </m:nary>
      </m:oMath>
      <w:r>
        <w:t xml:space="preserve"> </w:t>
      </w:r>
      <w:r>
        <w:t xml:space="preserve">where</w:t>
      </w:r>
      <w:r>
        <w:t xml:space="preserve"> </w:t>
      </w:r>
      <m:oMath>
        <m:sSub>
          <m:e>
            <m:r>
              <m:t>t</m:t>
            </m:r>
          </m:e>
          <m:sub>
            <m:r>
              <m:t>i</m:t>
            </m:r>
          </m:sub>
        </m:sSub>
      </m:oMath>
      <w:r>
        <w:t xml:space="preserve"> </w:t>
      </w:r>
      <w:r>
        <w:t xml:space="preserve">represents each change year. This maintains smooth selectivity curves in all change years.</w:t>
      </w:r>
      <w:r>
        <w:t xml:space="preserve"> </w:t>
      </w:r>
      <w:r>
        <w:t xml:space="preserve">Penalty Term 4: Temporal Stability Penalty (Random Walk)</w:t>
      </w:r>
      <w:r>
        <w:t xml:space="preserve"> </w:t>
      </w:r>
      <m:oMath>
        <m:sSub>
          <m:e>
            <m:r>
              <m:t>P</m:t>
            </m:r>
          </m:e>
          <m:sub>
            <m:r>
              <m:t>4</m:t>
            </m:r>
          </m:sub>
        </m:sSub>
        <m:r>
          <m:rPr>
            <m:sty m:val="p"/>
          </m:rPr>
          <m:t>=</m:t>
        </m:r>
        <m:nary>
          <m:naryPr>
            <m:chr m:val="∑"/>
            <m:limLoc m:val="undOvr"/>
            <m:subHide m:val="off"/>
            <m:supHide m:val="off"/>
          </m:naryPr>
          <m:sub>
            <m:r>
              <m:t>i</m:t>
            </m:r>
            <m:r>
              <m:rPr>
                <m:sty m:val="p"/>
              </m:rPr>
              <m:t>=</m:t>
            </m:r>
            <m:r>
              <m:t>1</m:t>
            </m:r>
          </m:sub>
          <m:sup>
            <m:sSub>
              <m:e>
                <m:r>
                  <m:t>N</m:t>
                </m:r>
              </m:e>
              <m:sub>
                <m:r>
                  <m:t>c</m:t>
                </m:r>
                <m:r>
                  <m:t>h</m:t>
                </m:r>
                <m:r>
                  <m:t>a</m:t>
                </m:r>
                <m:r>
                  <m:t>n</m:t>
                </m:r>
                <m:r>
                  <m:t>g</m:t>
                </m:r>
                <m:r>
                  <m:t>e</m:t>
                </m:r>
                <m:r>
                  <m:t>s</m:t>
                </m:r>
              </m:sub>
            </m:sSub>
          </m:sup>
          <m:e>
            <m:f>
              <m:fPr>
                <m:type m:val="bar"/>
              </m:fPr>
              <m:num>
                <m:r>
                  <m:t>1</m:t>
                </m:r>
              </m:num>
              <m:den>
                <m:r>
                  <m:t>2</m:t>
                </m:r>
                <m:sSubSup>
                  <m:e>
                    <m:r>
                      <m:t>σ</m:t>
                    </m:r>
                  </m:e>
                  <m:sub>
                    <m:r>
                      <m:t>i</m:t>
                    </m:r>
                  </m:sub>
                  <m:sup>
                    <m:r>
                      <m:t>2</m:t>
                    </m:r>
                  </m:sup>
                </m:sSubSup>
              </m:den>
            </m:f>
          </m:e>
        </m:nary>
        <m:nary>
          <m:naryPr>
            <m:chr m:val="∑"/>
            <m:limLoc m:val="undOvr"/>
            <m:subHide m:val="off"/>
            <m:supHide m:val="off"/>
          </m:naryPr>
          <m:sub>
            <m:r>
              <m:t>a</m:t>
            </m:r>
            <m:r>
              <m:rPr>
                <m:sty m:val="p"/>
              </m:rPr>
              <m:t>=</m:t>
            </m:r>
            <m:r>
              <m:t>1</m:t>
            </m:r>
          </m:sub>
          <m:sup>
            <m:r>
              <m:t>n</m:t>
            </m:r>
            <m:r>
              <m:t>a</m:t>
            </m:r>
            <m:r>
              <m:t>g</m:t>
            </m:r>
            <m:r>
              <m:t>e</m:t>
            </m:r>
            <m:r>
              <m:t>s</m:t>
            </m:r>
          </m:sup>
          <m:e>
            <m:sSup>
              <m:e>
                <m:d>
                  <m:dPr>
                    <m:begChr m:val="["/>
                    <m:sepChr m:val=""/>
                    <m:endChr m:val="]"/>
                    <m:grow/>
                  </m:dPr>
                  <m:e>
                    <m:r>
                      <m:rPr>
                        <m:sty m:val="p"/>
                      </m:rPr>
                      <m:t>log</m:t>
                    </m:r>
                    <m:d>
                      <m:dPr>
                        <m:begChr m:val="("/>
                        <m:sepChr m:val=""/>
                        <m:endChr m:val=")"/>
                        <m:grow/>
                      </m:dPr>
                      <m:e>
                        <m:sSub>
                          <m:e>
                            <m:r>
                              <m:t>S</m:t>
                            </m:r>
                          </m:e>
                          <m:sub>
                            <m:sSub>
                              <m:e>
                                <m:r>
                                  <m:t>t</m:t>
                                </m:r>
                              </m:e>
                              <m:sub>
                                <m:r>
                                  <m:t>i</m:t>
                                </m:r>
                              </m:sub>
                            </m:sSub>
                            <m:r>
                              <m:rPr>
                                <m:sty m:val="p"/>
                              </m:rPr>
                              <m:t>−</m:t>
                            </m:r>
                            <m:r>
                              <m:t>1</m:t>
                            </m:r>
                            <m:r>
                              <m:rPr>
                                <m:sty m:val="p"/>
                              </m:rPr>
                              <m:t>,</m:t>
                            </m:r>
                            <m:r>
                              <m:t>a</m:t>
                            </m:r>
                          </m:sub>
                        </m:sSub>
                      </m:e>
                    </m:d>
                    <m:r>
                      <m:rPr>
                        <m:sty m:val="p"/>
                      </m:rPr>
                      <m:t>−</m:t>
                    </m:r>
                    <m:r>
                      <m:rPr>
                        <m:sty m:val="p"/>
                      </m:rPr>
                      <m:t>log</m:t>
                    </m:r>
                    <m:d>
                      <m:dPr>
                        <m:begChr m:val="("/>
                        <m:sepChr m:val=""/>
                        <m:endChr m:val=")"/>
                        <m:grow/>
                      </m:dPr>
                      <m:e>
                        <m:sSub>
                          <m:e>
                            <m:r>
                              <m:t>S</m:t>
                            </m:r>
                          </m:e>
                          <m:sub>
                            <m:sSub>
                              <m:e>
                                <m:r>
                                  <m:t>t</m:t>
                                </m:r>
                              </m:e>
                              <m:sub>
                                <m:r>
                                  <m:t>i</m:t>
                                </m:r>
                              </m:sub>
                            </m:sSub>
                            <m:r>
                              <m:rPr>
                                <m:sty m:val="p"/>
                              </m:rPr>
                              <m:t>,</m:t>
                            </m:r>
                            <m:r>
                              <m:t>a</m:t>
                            </m:r>
                          </m:sub>
                        </m:sSub>
                      </m:e>
                    </m:d>
                  </m:e>
                </m:d>
              </m:e>
              <m:sup>
                <m:r>
                  <m:t>2</m:t>
                </m:r>
              </m:sup>
            </m:sSup>
          </m:e>
        </m:nary>
      </m:oMath>
      <w:r>
        <w:t xml:space="preserve"> </w:t>
      </w:r>
      <w:r>
        <w:t xml:space="preserve">where:</w:t>
      </w:r>
    </w:p>
    <w:p>
      <w:pPr>
        <w:pStyle w:val="BodyText"/>
      </w:pPr>
      <m:oMath>
        <m:sSub>
          <m:e>
            <m:r>
              <m:t>σ</m:t>
            </m:r>
          </m:e>
          <m:sub>
            <m:r>
              <m:t>i</m:t>
            </m:r>
          </m:sub>
        </m:sSub>
      </m:oMath>
      <w:r>
        <w:t xml:space="preserve"> </w:t>
      </w:r>
      <w:r>
        <w:t xml:space="preserve">= sel_ch_sig_fsh(i) (change magnitude parameter for change event</w:t>
      </w:r>
      <w:r>
        <w:t xml:space="preserve"> </w:t>
      </w:r>
      <m:oMath>
        <m:r>
          <m:t>i</m:t>
        </m:r>
      </m:oMath>
      <w:r>
        <w:t xml:space="preserve">)</w:t>
      </w:r>
      <w:r>
        <w:t xml:space="preserve"> </w:t>
      </w:r>
      <w:r>
        <w:t xml:space="preserve">This penalizes large year-to-year changes in selectivity</w:t>
      </w:r>
      <w:r>
        <w:t xml:space="preserve"> </w:t>
      </w:r>
      <w:r>
        <w:t xml:space="preserve">Only applied when</w:t>
      </w:r>
      <w:r>
        <w:t xml:space="preserve"> </w:t>
      </w:r>
      <m:oMath>
        <m:sSub>
          <m:e>
            <m:r>
              <m:t>t</m:t>
            </m:r>
          </m:e>
          <m:sub>
            <m:r>
              <m:t>i</m:t>
            </m:r>
          </m:sub>
        </m:sSub>
        <m:r>
          <m:rPr>
            <m:sty m:val="p"/>
          </m:rPr>
          <m:t>≠</m:t>
        </m:r>
        <m:r>
          <m:t>s</m:t>
        </m:r>
        <m:r>
          <m:t>t</m:t>
        </m:r>
        <m:r>
          <m:t>y</m:t>
        </m:r>
        <m:r>
          <m:t>r</m:t>
        </m:r>
      </m:oMath>
      <w:r>
        <w:t xml:space="preserve"> </w:t>
      </w:r>
      <w:r>
        <w:t xml:space="preserve">(change year is not the start year)</w:t>
      </w:r>
    </w:p>
    <w:p>
      <w:pPr>
        <w:pStyle w:val="BodyText"/>
      </w:pPr>
      <w:r>
        <w:t xml:space="preserve">Total Penalty Function</w:t>
      </w:r>
      <w:r>
        <w:t xml:space="preserve"> </w:t>
      </w:r>
      <m:oMath>
        <m:sSub>
          <m:e>
            <m:r>
              <m:t>P</m:t>
            </m:r>
          </m:e>
          <m:sub>
            <m:r>
              <m:t>t</m:t>
            </m:r>
            <m:r>
              <m:t>o</m:t>
            </m:r>
            <m:r>
              <m:t>t</m:t>
            </m:r>
            <m:r>
              <m:t>a</m:t>
            </m:r>
            <m:r>
              <m:t>l</m:t>
            </m:r>
          </m:sub>
        </m:sSub>
        <m:r>
          <m:rPr>
            <m:sty m:val="p"/>
          </m:rPr>
          <m:t>=</m:t>
        </m:r>
        <m:sSub>
          <m:e>
            <m:r>
              <m:t>P</m:t>
            </m:r>
          </m:e>
          <m:sub>
            <m:r>
              <m:t>1</m:t>
            </m:r>
          </m:sub>
        </m:sSub>
        <m:r>
          <m:rPr>
            <m:sty m:val="p"/>
          </m:rPr>
          <m:t>+</m:t>
        </m:r>
        <m:sSub>
          <m:e>
            <m:r>
              <m:t>P</m:t>
            </m:r>
          </m:e>
          <m:sub>
            <m:r>
              <m:t>2</m:t>
            </m:r>
          </m:sub>
        </m:sSub>
        <m:r>
          <m:rPr>
            <m:sty m:val="p"/>
          </m:rPr>
          <m:t>+</m:t>
        </m:r>
        <m:sSub>
          <m:e>
            <m:r>
              <m:t>P</m:t>
            </m:r>
          </m:e>
          <m:sub>
            <m:r>
              <m:t>3</m:t>
            </m:r>
          </m:sub>
        </m:sSub>
        <m:r>
          <m:rPr>
            <m:sty m:val="p"/>
          </m:rPr>
          <m:t>+</m:t>
        </m:r>
        <m:sSub>
          <m:e>
            <m:r>
              <m:t>P</m:t>
            </m:r>
          </m:e>
          <m:sub>
            <m:r>
              <m:t>4</m:t>
            </m:r>
          </m:sub>
        </m:sSub>
      </m:oMath>
      <w:r>
        <w:t xml:space="preserve"> </w:t>
      </w:r>
      <w:r>
        <w:t xml:space="preserve">The total negative log-likelihood becomes:</w:t>
      </w:r>
      <w:r>
        <w:t xml:space="preserve"> </w:t>
      </w:r>
      <m:oMath>
        <m:r>
          <m:rPr>
            <m:sty m:val="p"/>
          </m:rPr>
          <m:t>−</m:t>
        </m:r>
        <m:r>
          <m:rPr>
            <m:sty m:val="p"/>
          </m:rPr>
          <m:t>log</m:t>
        </m:r>
        <m:r>
          <m:t>L</m:t>
        </m:r>
        <m:r>
          <m:rPr>
            <m:sty m:val="p"/>
          </m:rPr>
          <m:t>=</m:t>
        </m:r>
        <m:r>
          <m:rPr>
            <m:sty m:val="p"/>
          </m:rPr>
          <m:t>−</m:t>
        </m:r>
        <m:r>
          <m:rPr>
            <m:sty m:val="p"/>
          </m:rPr>
          <m:t>log</m:t>
        </m:r>
        <m:sSub>
          <m:e>
            <m:r>
              <m:t>L</m:t>
            </m:r>
          </m:e>
          <m:sub>
            <m:r>
              <m:t>d</m:t>
            </m:r>
            <m:r>
              <m:t>a</m:t>
            </m:r>
            <m:r>
              <m:t>t</m:t>
            </m:r>
            <m:r>
              <m:t>a</m:t>
            </m:r>
          </m:sub>
        </m:sSub>
        <m:r>
          <m:rPr>
            <m:sty m:val="p"/>
          </m:rPr>
          <m:t>+</m:t>
        </m:r>
        <m:sSub>
          <m:e>
            <m:r>
              <m:t>P</m:t>
            </m:r>
          </m:e>
          <m:sub>
            <m:r>
              <m:t>t</m:t>
            </m:r>
            <m:r>
              <m:t>o</m:t>
            </m:r>
            <m:r>
              <m:t>t</m:t>
            </m:r>
            <m:r>
              <m:t>a</m:t>
            </m:r>
            <m:r>
              <m:t>l</m:t>
            </m:r>
          </m:sub>
        </m:sSub>
      </m:oMath>
      <w:r>
        <w:t xml:space="preserve"> </w:t>
      </w:r>
      <w:r>
        <w:t xml:space="preserve">Penalty Interpretation</w:t>
      </w:r>
    </w:p>
    <w:p>
      <w:pPr>
        <w:pStyle w:val="BodyText"/>
      </w:pPr>
      <m:oMath>
        <m:sSub>
          <m:e>
            <m:r>
              <m:t>P</m:t>
            </m:r>
          </m:e>
          <m:sub>
            <m:r>
              <m:t>1</m:t>
            </m:r>
          </m:sub>
        </m:sSub>
      </m:oMath>
      <w:r>
        <w:t xml:space="preserve">: Prevents overfitting by shrinking deviations toward zero</w:t>
      </w:r>
      <w:r>
        <w:t xml:space="preserve"> </w:t>
      </w:r>
      <m:oMath>
        <m:sSub>
          <m:e>
            <m:r>
              <m:t>P</m:t>
            </m:r>
          </m:e>
          <m:sub>
            <m:r>
              <m:t>2</m:t>
            </m:r>
          </m:sub>
        </m:sSub>
      </m:oMath>
      <w:r>
        <w:t xml:space="preserve"> </w:t>
      </w:r>
      <w:r>
        <w:t xml:space="preserve">and</w:t>
      </w:r>
      <w:r>
        <w:t xml:space="preserve"> </w:t>
      </w:r>
      <m:oMath>
        <m:sSub>
          <m:e>
            <m:r>
              <m:t>P</m:t>
            </m:r>
          </m:e>
          <m:sub>
            <m:r>
              <m:t>3</m:t>
            </m:r>
          </m:sub>
        </m:sSub>
      </m:oMath>
      <w:r>
        <w:t xml:space="preserve">: Enforce smooth, realistic selectivity curves (penalize jagged patterns)</w:t>
      </w:r>
      <w:r>
        <w:t xml:space="preserve"> </w:t>
      </w:r>
      <m:oMath>
        <m:sSub>
          <m:e>
            <m:r>
              <m:t>P</m:t>
            </m:r>
          </m:e>
          <m:sub>
            <m:r>
              <m:t>4</m:t>
            </m:r>
          </m:sub>
        </m:sSub>
      </m:oMath>
      <w:r>
        <w:t xml:space="preserve">: Constrains temporal evolution (selectivity changes smoothly over time)</w:t>
      </w:r>
    </w:p>
    <w:p>
      <w:pPr>
        <w:pStyle w:val="BodyText"/>
      </w:pPr>
      <w:r>
        <w:t xml:space="preserve">The penalty weights (</w:t>
      </w:r>
      <m:oMath>
        <m:sSub>
          <m:e>
            <m:r>
              <m:t>λ</m:t>
            </m:r>
          </m:e>
          <m:sub>
            <m:r>
              <m:t>1</m:t>
            </m:r>
          </m:sub>
        </m:sSub>
      </m:oMath>
      <w:r>
        <w:t xml:space="preserve">,</w:t>
      </w:r>
      <w:r>
        <w:t xml:space="preserve"> </w:t>
      </w:r>
      <m:oMath>
        <m:sSub>
          <m:e>
            <m:r>
              <m:t>λ</m:t>
            </m:r>
          </m:e>
          <m:sub>
            <m:r>
              <m:t>2</m:t>
            </m:r>
          </m:sub>
        </m:sSub>
      </m:oMath>
      <w:r>
        <w:t xml:space="preserve">) and variance parameters (</w:t>
      </w:r>
      <m:oMath>
        <m:sSub>
          <m:e>
            <m:r>
              <m:t>σ</m:t>
            </m:r>
          </m:e>
          <m:sub>
            <m:r>
              <m:t>i</m:t>
            </m:r>
          </m:sub>
        </m:sSub>
      </m:oMath>
      <w:r>
        <w:t xml:space="preserve">) control the balance between fitting data and maintaining realistic selectivity patterns.</w:t>
      </w:r>
      <w:r>
        <w:t xml:space="preserve"> </w:t>
      </w:r>
      <w:r>
        <w:t xml:space="preserve">Implementation Notes</w:t>
      </w:r>
    </w:p>
    <w:p>
      <w:pPr>
        <w:pStyle w:val="BodyText"/>
      </w:pPr>
      <w:r>
        <w:t xml:space="preserve">Base coefficients</w:t>
      </w:r>
      <w:r>
        <w:t xml:space="preserve"> </w:t>
      </w:r>
      <m:oMath>
        <m:r>
          <m:rPr>
            <m:sty m:val="b"/>
          </m:rPr>
          <m:t>c</m:t>
        </m:r>
      </m:oMath>
      <w:r>
        <w:t xml:space="preserve"> </w:t>
      </w:r>
      <w:r>
        <w:t xml:space="preserve">are estimated parameters</w:t>
      </w:r>
      <w:r>
        <w:t xml:space="preserve"> </w:t>
      </w:r>
      <w:r>
        <w:t xml:space="preserve">Deviations</w:t>
      </w:r>
      <w:r>
        <w:t xml:space="preserve"> </w:t>
      </w:r>
      <m:oMath>
        <m:r>
          <m:rPr>
            <m:sty m:val="b"/>
          </m:rPr>
          <m:t>δ</m:t>
        </m:r>
      </m:oMath>
      <w:r>
        <w:t xml:space="preserve"> </w:t>
      </w:r>
      <w:r>
        <w:t xml:space="preserve">are penalized to prevent overfitting</w:t>
      </w:r>
      <w:r>
        <w:t xml:space="preserve"> </w:t>
      </w:r>
      <w:r>
        <w:t xml:space="preserve">The plateau assumption prevents unrealistic selectivity patterns for older ages</w:t>
      </w:r>
      <w:r>
        <w:t xml:space="preserve"> </w:t>
      </w:r>
      <w:r>
        <w:t xml:space="preserve">Geometric mean normalization maintains interpretability relative to fishing mortality</w:t>
      </w:r>
      <w:r>
        <w:t xml:space="preserve"> </w:t>
      </w:r>
      <w:r>
        <w:t xml:space="preserve">Second differences approximate curvature (second derivatives) for smoothness penalties</w:t>
      </w:r>
    </w:p>
    <w:bookmarkEnd w:id="208"/>
    <w:bookmarkEnd w:id="209"/>
    <w:bookmarkStart w:id="254" w:name="references"/>
    <w:p>
      <w:pPr>
        <w:pStyle w:val="Heading1"/>
      </w:pPr>
      <w:r>
        <w:t xml:space="preserve">References</w:t>
      </w:r>
    </w:p>
    <w:bookmarkStart w:id="253" w:name="refs"/>
    <w:bookmarkStart w:id="211" w:name="ref-adams2022"/>
    <w:p>
      <w:pPr>
        <w:pStyle w:val="Bibliography"/>
      </w:pPr>
      <w:r>
        <w:t xml:space="preserve">Adams, Grant D., Kirstin K. Holsman, Steven J. Barbeaux, Martin W. Dorn, James N. Ianelli, Ingrid Spies, Ian J. Stewart, and André E. Punt. 2022.</w:t>
      </w:r>
      <w:r>
        <w:t xml:space="preserve"> </w:t>
      </w:r>
      <w:r>
        <w:t xml:space="preserve">“An Ensemble Approach to Understand Predation Mortality for Groundfish in the Gulf of Alaska.”</w:t>
      </w:r>
      <w:r>
        <w:t xml:space="preserve"> </w:t>
      </w:r>
      <w:r>
        <w:rPr>
          <w:i/>
          <w:iCs/>
        </w:rPr>
        <w:t xml:space="preserve">Fisheries Research</w:t>
      </w:r>
      <w:r>
        <w:t xml:space="preserve"> </w:t>
      </w:r>
      <w:r>
        <w:t xml:space="preserve">251: 106303. https://doi.org/</w:t>
      </w:r>
      <w:hyperlink r:id="rId210">
        <w:r>
          <w:rPr>
            <w:rStyle w:val="Hyperlink"/>
          </w:rPr>
          <w:t xml:space="preserve">https://doi.org/10.1016/j.fishres.2022.106303</w:t>
        </w:r>
      </w:hyperlink>
      <w:r>
        <w:t xml:space="preserve">.</w:t>
      </w:r>
    </w:p>
    <w:bookmarkEnd w:id="211"/>
    <w:bookmarkStart w:id="213" w:name="ref-Anderson2022"/>
    <w:p>
      <w:pPr>
        <w:pStyle w:val="Bibliography"/>
      </w:pPr>
      <w:r>
        <w:t xml:space="preserve">Anderson, S. C., E. J. Ward, P. A. English, and L. A. K. Barnett. 2022.</w:t>
      </w:r>
      <w:r>
        <w:t xml:space="preserve"> </w:t>
      </w:r>
      <w:r>
        <w:t xml:space="preserve">“sdmTMB: An r Package for Fast, Flexible, and User-Friendly Generalized Linear Mixed Effects Models with Spatial and Spatiotemporal Random Fields.”</w:t>
      </w:r>
      <w:r>
        <w:t xml:space="preserve"> </w:t>
      </w:r>
      <w:r>
        <w:rPr>
          <w:i/>
          <w:iCs/>
        </w:rPr>
        <w:t xml:space="preserve">BioRxiv</w:t>
      </w:r>
      <w:r>
        <w:t xml:space="preserve">, 2022–03.</w:t>
      </w:r>
      <w:r>
        <w:t xml:space="preserve"> </w:t>
      </w:r>
      <w:hyperlink r:id="rId212">
        <w:r>
          <w:rPr>
            <w:rStyle w:val="Hyperlink"/>
          </w:rPr>
          <w:t xml:space="preserve">https://doi.org/10.1101/2022.03.24.485545</w:t>
        </w:r>
      </w:hyperlink>
      <w:r>
        <w:t xml:space="preserve">.</w:t>
      </w:r>
    </w:p>
    <w:bookmarkEnd w:id="213"/>
    <w:bookmarkStart w:id="214" w:name="ref-butterworth2003statistical"/>
    <w:p>
      <w:pPr>
        <w:pStyle w:val="Bibliography"/>
      </w:pPr>
      <w:r>
        <w:t xml:space="preserve">Butterworth, Doug S, James N Ianelli, and Ray Hilborn. 2003.</w:t>
      </w:r>
      <w:r>
        <w:t xml:space="preserve"> </w:t>
      </w:r>
      <w:r>
        <w:t xml:space="preserve">“A Statistical Model for Stock Assessment of Southern Bluefin Tuna with Temporal Changes in Selectivity.”</w:t>
      </w:r>
      <w:r>
        <w:t xml:space="preserve"> </w:t>
      </w:r>
      <w:r>
        <w:rPr>
          <w:i/>
          <w:iCs/>
        </w:rPr>
        <w:t xml:space="preserve">Afr. J. Mar. Sci.</w:t>
      </w:r>
      <w:r>
        <w:t xml:space="preserve"> </w:t>
      </w:r>
      <w:r>
        <w:t xml:space="preserve">25: 331–61.</w:t>
      </w:r>
    </w:p>
    <w:bookmarkEnd w:id="214"/>
    <w:bookmarkStart w:id="215" w:name="ref-spock"/>
    <w:p>
      <w:pPr>
        <w:pStyle w:val="Bibliography"/>
      </w:pPr>
      <w:r>
        <w:t xml:space="preserve">Cheng, Matthew. 2025.</w:t>
      </w:r>
      <w:r>
        <w:t xml:space="preserve"> </w:t>
      </w:r>
      <w:r>
        <w:rPr>
          <w:i/>
          <w:iCs/>
        </w:rPr>
        <w:t xml:space="preserve">SPoCK: Spatial (s) Population (Po) Model with Connectivity (c) Across Generalized Komponents (k)</w:t>
      </w:r>
      <w:r>
        <w:t xml:space="preserve">.</w:t>
      </w:r>
    </w:p>
    <w:bookmarkEnd w:id="215"/>
    <w:bookmarkStart w:id="217" w:name="ref-cheng2025"/>
    <w:p>
      <w:pPr>
        <w:pStyle w:val="Bibliography"/>
      </w:pPr>
      <w:r>
        <w:t xml:space="preserve">Cheng, Matthew L. H., Daniel R. Goethel, Peter-John F. Hulson, Michael J. Wilberg, Craig Marsh, and Curry J. Cunningham. 2025.</w:t>
      </w:r>
      <w:r>
        <w:t xml:space="preserve"> </w:t>
      </w:r>
      <w:r>
        <w:t xml:space="preserve">“Misspecifying</w:t>
      </w:r>
      <w:r>
        <w:t xml:space="preserve"> </w:t>
      </w:r>
      <w:r>
        <w:t xml:space="preserve">Sex-Structured</w:t>
      </w:r>
      <w:r>
        <w:t xml:space="preserve"> </w:t>
      </w:r>
      <w:r>
        <w:t xml:space="preserve">Dynamics</w:t>
      </w:r>
      <w:r>
        <w:t xml:space="preserve"> </w:t>
      </w:r>
      <w:r>
        <w:t xml:space="preserve">in</w:t>
      </w:r>
      <w:r>
        <w:t xml:space="preserve"> </w:t>
      </w:r>
      <w:r>
        <w:t xml:space="preserve">Stock</w:t>
      </w:r>
      <w:r>
        <w:t xml:space="preserve"> </w:t>
      </w:r>
      <w:r>
        <w:t xml:space="preserve">Assessment</w:t>
      </w:r>
      <w:r>
        <w:t xml:space="preserve"> </w:t>
      </w:r>
      <w:r>
        <w:t xml:space="preserve">Models</w:t>
      </w:r>
      <w:r>
        <w:t xml:space="preserve">.”</w:t>
      </w:r>
      <w:r>
        <w:t xml:space="preserve"> </w:t>
      </w:r>
      <w:r>
        <w:rPr>
          <w:i/>
          <w:iCs/>
        </w:rPr>
        <w:t xml:space="preserve">Fish</w:t>
      </w:r>
      <w:r>
        <w:rPr>
          <w:i/>
          <w:iCs/>
        </w:rPr>
        <w:t xml:space="preserve"> </w:t>
      </w:r>
      <w:r>
        <w:rPr>
          <w:i/>
          <w:iCs/>
        </w:rPr>
        <w:t xml:space="preserve">and</w:t>
      </w:r>
      <w:r>
        <w:rPr>
          <w:i/>
          <w:iCs/>
        </w:rPr>
        <w:t xml:space="preserve"> </w:t>
      </w:r>
      <w:r>
        <w:rPr>
          <w:i/>
          <w:iCs/>
        </w:rPr>
        <w:t xml:space="preserve">Fisheries</w:t>
      </w:r>
      <w:r>
        <w:t xml:space="preserve">, February, 1–19.</w:t>
      </w:r>
      <w:r>
        <w:t xml:space="preserve"> </w:t>
      </w:r>
      <w:hyperlink r:id="rId216">
        <w:r>
          <w:rPr>
            <w:rStyle w:val="Hyperlink"/>
          </w:rPr>
          <w:t xml:space="preserve">https://doi.org/10.1111/faf.12891</w:t>
        </w:r>
      </w:hyperlink>
      <w:r>
        <w:t xml:space="preserve">.</w:t>
      </w:r>
    </w:p>
    <w:bookmarkEnd w:id="217"/>
    <w:bookmarkStart w:id="219" w:name="ref-Dunn1996"/>
    <w:p>
      <w:pPr>
        <w:pStyle w:val="Bibliography"/>
      </w:pPr>
      <w:r>
        <w:t xml:space="preserve">Dunn, K. P., and G. K. Smyth. 1996.</w:t>
      </w:r>
      <w:r>
        <w:t xml:space="preserve"> </w:t>
      </w:r>
      <w:r>
        <w:t xml:space="preserve">“Randomized Quantile Residuals.”</w:t>
      </w:r>
      <w:r>
        <w:t xml:space="preserve"> </w:t>
      </w:r>
      <w:r>
        <w:rPr>
          <w:i/>
          <w:iCs/>
        </w:rPr>
        <w:t xml:space="preserve">Journal of Computational and Graphical Statistics</w:t>
      </w:r>
      <w:r>
        <w:t xml:space="preserve"> </w:t>
      </w:r>
      <w:r>
        <w:t xml:space="preserve">5 (1): 1–10.</w:t>
      </w:r>
      <w:r>
        <w:t xml:space="preserve"> </w:t>
      </w:r>
      <w:hyperlink r:id="rId218">
        <w:r>
          <w:rPr>
            <w:rStyle w:val="Hyperlink"/>
          </w:rPr>
          <w:t xml:space="preserve">https://doi.org/10.1080/10618600.1996.10474708</w:t>
        </w:r>
      </w:hyperlink>
      <w:r>
        <w:t xml:space="preserve">.</w:t>
      </w:r>
    </w:p>
    <w:bookmarkEnd w:id="219"/>
    <w:bookmarkStart w:id="220" w:name="ref-hake2024"/>
    <w:p>
      <w:pPr>
        <w:pStyle w:val="Bibliography"/>
      </w:pPr>
      <w:r>
        <w:t xml:space="preserve">Grandin, C. J., K. F. Johnson, A. M. Edwards, and A. M. Berger. 2024.</w:t>
      </w:r>
      <w:r>
        <w:t xml:space="preserve"> </w:t>
      </w:r>
      <w:r>
        <w:t xml:space="preserve">“Status of the</w:t>
      </w:r>
      <w:r>
        <w:t xml:space="preserve"> </w:t>
      </w:r>
      <w:r>
        <w:t xml:space="preserve">Pacific</w:t>
      </w:r>
      <w:r>
        <w:t xml:space="preserve"> </w:t>
      </w:r>
      <w:r>
        <w:t xml:space="preserve">Hake</w:t>
      </w:r>
      <w:r>
        <w:t xml:space="preserve"> </w:t>
      </w:r>
      <w:r>
        <w:t xml:space="preserve">(Whiting) Stock in</w:t>
      </w:r>
      <w:r>
        <w:t xml:space="preserve"> </w:t>
      </w:r>
      <w:r>
        <w:t xml:space="preserve">U.S.</w:t>
      </w:r>
      <w:r>
        <w:t xml:space="preserve"> </w:t>
      </w:r>
      <w:r>
        <w:t xml:space="preserve">And</w:t>
      </w:r>
      <w:r>
        <w:t xml:space="preserve"> </w:t>
      </w:r>
      <w:r>
        <w:t xml:space="preserve">Canadian</w:t>
      </w:r>
      <w:r>
        <w:t xml:space="preserve"> </w:t>
      </w:r>
      <w:r>
        <w:t xml:space="preserve">Waters in 2024.”</w:t>
      </w:r>
      <w:r>
        <w:t xml:space="preserve"> </w:t>
      </w:r>
      <w:r>
        <w:t xml:space="preserve">Joint Technical Committee of the U.S.; Canada Pacific Hake/Whiting Agreement, National Marine Fisheries Service; Fisheries; Oceans Canada.</w:t>
      </w:r>
    </w:p>
    <w:bookmarkEnd w:id="220"/>
    <w:bookmarkStart w:id="222" w:name="ref-Hartig2021"/>
    <w:p>
      <w:pPr>
        <w:pStyle w:val="Bibliography"/>
      </w:pPr>
      <w:r>
        <w:t xml:space="preserve">Hartig, Florian. 2021.</w:t>
      </w:r>
      <w:r>
        <w:t xml:space="preserve"> </w:t>
      </w:r>
      <w:r>
        <w:rPr>
          <w:i/>
          <w:iCs/>
        </w:rPr>
        <w:t xml:space="preserve">DHARMa: Residual Diagnostics for Hierarchical (Multi-Level / Mixed) Regression Models</w:t>
      </w:r>
      <w:r>
        <w:t xml:space="preserve">.</w:t>
      </w:r>
      <w:r>
        <w:t xml:space="preserve"> </w:t>
      </w:r>
      <w:hyperlink r:id="rId221">
        <w:r>
          <w:rPr>
            <w:rStyle w:val="Hyperlink"/>
          </w:rPr>
          <w:t xml:space="preserve">http://florianhartig.github.io/DHARMa/</w:t>
        </w:r>
      </w:hyperlink>
      <w:r>
        <w:t xml:space="preserve">.</w:t>
      </w:r>
    </w:p>
    <w:bookmarkEnd w:id="222"/>
    <w:bookmarkStart w:id="224" w:name="ref-helser2019"/>
    <w:p>
      <w:pPr>
        <w:pStyle w:val="Bibliography"/>
      </w:pPr>
      <w:r>
        <w:t xml:space="preserve">Helser, Thomas E., Irina Benson, Jason Erickson, Jordan Healy, Craig Kastelle, and Jonathan A. Short. 2019.</w:t>
      </w:r>
      <w:r>
        <w:t xml:space="preserve"> </w:t>
      </w:r>
      <w:r>
        <w:t xml:space="preserve">“A Transformative Approach to Ageing Fish Otoliths Using Fourier Transform Near Infrared Spectroscopy: A Case Study of Eastern Bering Sea Walleye Pollock (</w:t>
      </w:r>
      <w:r>
        <w:rPr>
          <w:i/>
          <w:iCs/>
        </w:rPr>
        <w:t xml:space="preserve">Gadus Chalcogrammus</w:t>
      </w:r>
      <w:r>
        <w:t xml:space="preserve">).”</w:t>
      </w:r>
      <w:r>
        <w:t xml:space="preserve"> </w:t>
      </w:r>
      <w:r>
        <w:rPr>
          <w:i/>
          <w:iCs/>
        </w:rPr>
        <w:t xml:space="preserve">Canadian Journal of Fisheries and Aquatic Sciences</w:t>
      </w:r>
      <w:r>
        <w:t xml:space="preserve"> </w:t>
      </w:r>
      <w:r>
        <w:t xml:space="preserve">76 (5): 780–89.</w:t>
      </w:r>
      <w:r>
        <w:t xml:space="preserve"> </w:t>
      </w:r>
      <w:hyperlink r:id="rId223">
        <w:r>
          <w:rPr>
            <w:rStyle w:val="Hyperlink"/>
          </w:rPr>
          <w:t xml:space="preserve">https://doi.org/10.1139/cjfas-2018-0112</w:t>
        </w:r>
      </w:hyperlink>
      <w:r>
        <w:t xml:space="preserve">.</w:t>
      </w:r>
    </w:p>
    <w:bookmarkEnd w:id="224"/>
    <w:bookmarkStart w:id="226" w:name="ref-holsman2024"/>
    <w:p>
      <w:pPr>
        <w:pStyle w:val="Bibliography"/>
      </w:pPr>
      <w:r>
        <w:t xml:space="preserve">Holsman, K. K., J. Ianelli, K. Shotwell, S. Barbeaux, K. Aydin, G. Adams, K. Kearney, A. Sulc, and S. Wassermann. 2024.</w:t>
      </w:r>
      <w:r>
        <w:t xml:space="preserve"> </w:t>
      </w:r>
      <w:r>
        <w:t xml:space="preserve">“Climate-Enhanced Multispecies Stock Assessment for Walleye Pollock,</w:t>
      </w:r>
      <w:r>
        <w:t xml:space="preserve"> </w:t>
      </w:r>
      <w:r>
        <w:t xml:space="preserve">Pacific</w:t>
      </w:r>
      <w:r>
        <w:t xml:space="preserve"> </w:t>
      </w:r>
      <w:r>
        <w:t xml:space="preserve">Cod, and Arrowtooth Flounder in the Eastern</w:t>
      </w:r>
      <w:r>
        <w:t xml:space="preserve"> </w:t>
      </w:r>
      <w:r>
        <w:t xml:space="preserve">Bering</w:t>
      </w:r>
      <w:r>
        <w:t xml:space="preserve"> </w:t>
      </w:r>
      <w:r>
        <w:t xml:space="preserve">Sea</w:t>
      </w:r>
      <w:r>
        <w:t xml:space="preserve">.”</w:t>
      </w:r>
      <w:r>
        <w:t xml:space="preserve"> </w:t>
      </w:r>
      <w:r>
        <w:t xml:space="preserve">Technical Report. Anchorage, AK: North Pacific Fishery Management Council.</w:t>
      </w:r>
      <w:r>
        <w:t xml:space="preserve"> </w:t>
      </w:r>
      <w:hyperlink r:id="rId225">
        <w:r>
          <w:rPr>
            <w:rStyle w:val="Hyperlink"/>
          </w:rPr>
          <w:t xml:space="preserve">https://www.npfmc.org/wp-content/PDFdocuments/SAFE/2024/EBSmultispp.pdf</w:t>
        </w:r>
      </w:hyperlink>
      <w:r>
        <w:t xml:space="preserve">.</w:t>
      </w:r>
    </w:p>
    <w:bookmarkEnd w:id="226"/>
    <w:bookmarkStart w:id="228" w:name="ref-ianelli2025"/>
    <w:p>
      <w:pPr>
        <w:pStyle w:val="Bibliography"/>
      </w:pPr>
      <w:r>
        <w:t xml:space="preserve">Ianelli, Jim. 2025.</w:t>
      </w:r>
      <w:r>
        <w:t xml:space="preserve"> </w:t>
      </w:r>
      <w:r>
        <w:rPr>
          <w:i/>
          <w:iCs/>
        </w:rPr>
        <w:t xml:space="preserve">Ebswp: Facilitates Model Running for EBS Pollock</w:t>
      </w:r>
      <w:r>
        <w:t xml:space="preserve">.</w:t>
      </w:r>
      <w:r>
        <w:t xml:space="preserve"> </w:t>
      </w:r>
      <w:hyperlink r:id="rId227">
        <w:r>
          <w:rPr>
            <w:rStyle w:val="Hyperlink"/>
          </w:rPr>
          <w:t xml:space="preserve">http://afsc-assessments.github.io/EBSpollock/</w:t>
        </w:r>
      </w:hyperlink>
      <w:r>
        <w:t xml:space="preserve">.</w:t>
      </w:r>
    </w:p>
    <w:bookmarkEnd w:id="228"/>
    <w:bookmarkStart w:id="229" w:name="ref-jurado2005"/>
    <w:p>
      <w:pPr>
        <w:pStyle w:val="Bibliography"/>
      </w:pPr>
      <w:r>
        <w:t xml:space="preserve">Jurado-Molina, J., P. A. Livingston, and J. N. Ianelli. 2005.</w:t>
      </w:r>
      <w:r>
        <w:t xml:space="preserve"> </w:t>
      </w:r>
      <w:r>
        <w:t xml:space="preserve">“Incorporating Predation Interactions to a Statistical Catch-at-Age Model for a Predator-Prey System in the Eastern Bering Sea.”</w:t>
      </w:r>
      <w:r>
        <w:t xml:space="preserve"> </w:t>
      </w:r>
      <w:r>
        <w:rPr>
          <w:i/>
          <w:iCs/>
        </w:rPr>
        <w:t xml:space="preserve">Canadian Journal of Fisheries and Aquatic Sciences</w:t>
      </w:r>
      <w:r>
        <w:t xml:space="preserve"> </w:t>
      </w:r>
      <w:r>
        <w:t xml:space="preserve">62 (8): 1865–73.</w:t>
      </w:r>
    </w:p>
    <w:bookmarkEnd w:id="229"/>
    <w:bookmarkStart w:id="231" w:name="ref-methot2013"/>
    <w:p>
      <w:pPr>
        <w:pStyle w:val="Bibliography"/>
      </w:pPr>
      <w:r>
        <w:t xml:space="preserve">Methot, Richard D., and Chantell R. Wetzel. 2013.</w:t>
      </w:r>
      <w:r>
        <w:t xml:space="preserve"> </w:t>
      </w:r>
      <w:r>
        <w:t xml:space="preserve">“Stock Synthesis: A Biological and Statistical Framework for Fish Stock Assessment and Fishery Management.”</w:t>
      </w:r>
      <w:r>
        <w:t xml:space="preserve"> </w:t>
      </w:r>
      <w:r>
        <w:rPr>
          <w:i/>
          <w:iCs/>
        </w:rPr>
        <w:t xml:space="preserve">Fisheries Research</w:t>
      </w:r>
      <w:r>
        <w:t xml:space="preserve"> </w:t>
      </w:r>
      <w:r>
        <w:t xml:space="preserve">142 (May): 86–99.</w:t>
      </w:r>
      <w:r>
        <w:t xml:space="preserve"> </w:t>
      </w:r>
      <w:hyperlink r:id="rId230">
        <w:r>
          <w:rPr>
            <w:rStyle w:val="Hyperlink"/>
          </w:rPr>
          <w:t xml:space="preserve">https://doi.org/10.1016/j.fishres.2012.10.012</w:t>
        </w:r>
      </w:hyperlink>
      <w:r>
        <w:t xml:space="preserve">.</w:t>
      </w:r>
    </w:p>
    <w:bookmarkEnd w:id="231"/>
    <w:bookmarkStart w:id="233" w:name="ref-nielsen2014"/>
    <w:p>
      <w:pPr>
        <w:pStyle w:val="Bibliography"/>
      </w:pPr>
      <w:r>
        <w:t xml:space="preserve">Nielsen, Anders, and Casper W. Berg. 2014.</w:t>
      </w:r>
      <w:r>
        <w:t xml:space="preserve"> </w:t>
      </w:r>
      <w:r>
        <w:t xml:space="preserve">“Estimation of Time-Varying Selectivity in Stock Assessments Using State-Space Models.”</w:t>
      </w:r>
      <w:r>
        <w:t xml:space="preserve"> </w:t>
      </w:r>
      <w:r>
        <w:rPr>
          <w:i/>
          <w:iCs/>
        </w:rPr>
        <w:t xml:space="preserve">Fisheries Research</w:t>
      </w:r>
      <w:r>
        <w:t xml:space="preserve"> </w:t>
      </w:r>
      <w:r>
        <w:t xml:space="preserve">158: 96–101.</w:t>
      </w:r>
      <w:r>
        <w:t xml:space="preserve"> </w:t>
      </w:r>
      <w:hyperlink r:id="rId232">
        <w:r>
          <w:rPr>
            <w:rStyle w:val="Hyperlink"/>
          </w:rPr>
          <w:t xml:space="preserve">https://doi.org/10.1016/j.fishres.2014.01.014</w:t>
        </w:r>
      </w:hyperlink>
      <w:r>
        <w:t xml:space="preserve">.</w:t>
      </w:r>
    </w:p>
    <w:bookmarkEnd w:id="233"/>
    <w:bookmarkStart w:id="235" w:name="ref-nielsen2021"/>
    <w:p>
      <w:pPr>
        <w:pStyle w:val="Bibliography"/>
      </w:pPr>
      <w:r>
        <w:t xml:space="preserve">Nielsen, Anders, Niels T Hintzen, Henrik Mosegaard, Vanessa Trijoulet, and Casper W Berg. 2021.</w:t>
      </w:r>
      <w:r>
        <w:t xml:space="preserve"> </w:t>
      </w:r>
      <w:r>
        <w:t xml:space="preserve">“Multi-Fleet State-Space Assessment Model Strengthens Confidence in Single-Fleet</w:t>
      </w:r>
      <w:r>
        <w:t xml:space="preserve"> </w:t>
      </w:r>
      <w:r>
        <w:t xml:space="preserve">SAM</w:t>
      </w:r>
      <w:r>
        <w:t xml:space="preserve"> </w:t>
      </w:r>
      <w:r>
        <w:t xml:space="preserve">and Provides Fleet-Specific Forecast Options.”</w:t>
      </w:r>
      <w:r>
        <w:t xml:space="preserve"> </w:t>
      </w:r>
      <w:r>
        <w:rPr>
          <w:i/>
          <w:iCs/>
        </w:rPr>
        <w:t xml:space="preserve">ICES Journal of Marine Science</w:t>
      </w:r>
      <w:r>
        <w:t xml:space="preserve"> </w:t>
      </w:r>
      <w:r>
        <w:t xml:space="preserve">78 (6): 2043–52.</w:t>
      </w:r>
      <w:r>
        <w:t xml:space="preserve"> </w:t>
      </w:r>
      <w:hyperlink r:id="rId234">
        <w:r>
          <w:rPr>
            <w:rStyle w:val="Hyperlink"/>
          </w:rPr>
          <w:t xml:space="preserve">https://doi.org/10.1093/icesjms/fsab078</w:t>
        </w:r>
      </w:hyperlink>
      <w:r>
        <w:t xml:space="preserve">.</w:t>
      </w:r>
    </w:p>
    <w:bookmarkEnd w:id="235"/>
    <w:bookmarkStart w:id="237" w:name="ref-OLeary2020"/>
    <w:p>
      <w:pPr>
        <w:pStyle w:val="Bibliography"/>
      </w:pPr>
      <w:r>
        <w:t xml:space="preserve">O’Leary, C. A., J. T. Thorson, J. N. Ianelli, and S. Kotwicki. 2020.</w:t>
      </w:r>
      <w:r>
        <w:t xml:space="preserve"> </w:t>
      </w:r>
      <w:r>
        <w:t xml:space="preserve">“Adapting to Climate‐driven Distribution Shifts Using Model‐based Indices and Age Composition from Multiple Surveys in the Walleye Pollock (Gadus Chalcogrammus) Stock Assessment.”</w:t>
      </w:r>
      <w:r>
        <w:t xml:space="preserve"> </w:t>
      </w:r>
      <w:r>
        <w:rPr>
          <w:i/>
          <w:iCs/>
        </w:rPr>
        <w:t xml:space="preserve">Fisheries Oceanography</w:t>
      </w:r>
      <w:r>
        <w:t xml:space="preserve"> </w:t>
      </w:r>
      <w:r>
        <w:t xml:space="preserve">29 (6): 541–57.</w:t>
      </w:r>
      <w:r>
        <w:t xml:space="preserve"> </w:t>
      </w:r>
      <w:hyperlink r:id="rId236">
        <w:r>
          <w:rPr>
            <w:rStyle w:val="Hyperlink"/>
          </w:rPr>
          <w:t xml:space="preserve">https://doi.org/10.1111/fog.12494</w:t>
        </w:r>
      </w:hyperlink>
      <w:r>
        <w:t xml:space="preserve">.</w:t>
      </w:r>
    </w:p>
    <w:bookmarkEnd w:id="237"/>
    <w:bookmarkStart w:id="238" w:name="ref-punt2008"/>
    <w:p>
      <w:pPr>
        <w:pStyle w:val="Bibliography"/>
      </w:pPr>
      <w:r>
        <w:t xml:space="preserve">Punt, A. E., D. C. Smith, K. KrusicGolub, and S. Robertson. 2008.</w:t>
      </w:r>
      <w:r>
        <w:t xml:space="preserve"> </w:t>
      </w:r>
      <w:r>
        <w:t xml:space="preserve">“Quantifying Age-Reading Error for Use in Fisheries Stock Assessments, with Application to Species in Australia’s Southern and Eastern Scalefish and Shark Fishery.”</w:t>
      </w:r>
      <w:r>
        <w:t xml:space="preserve"> </w:t>
      </w:r>
      <w:r>
        <w:rPr>
          <w:i/>
          <w:iCs/>
        </w:rPr>
        <w:t xml:space="preserve">Can. J. Fish. Aquat. Sci.</w:t>
      </w:r>
      <w:r>
        <w:t xml:space="preserve"> </w:t>
      </w:r>
      <w:r>
        <w:t xml:space="preserve">65: 1991–2005.</w:t>
      </w:r>
    </w:p>
    <w:bookmarkEnd w:id="238"/>
    <w:bookmarkStart w:id="240" w:name="ref-Rohan2023"/>
    <w:p>
      <w:pPr>
        <w:pStyle w:val="Bibliography"/>
      </w:pPr>
      <w:r>
        <w:t xml:space="preserve">Rohan, S. K., L. A. K. Barnett, and N. Charriere. 2022.</w:t>
      </w:r>
      <w:r>
        <w:t xml:space="preserve"> </w:t>
      </w:r>
      <w:r>
        <w:t xml:space="preserve">“Evaluating Approaches to Estimating Mean Temperatures and Cold Pool Area from AFSC Bottom Trawl Surveys of the Eastern Bering Sea.”</w:t>
      </w:r>
      <w:r>
        <w:t xml:space="preserve"> </w:t>
      </w:r>
      <w:r>
        <w:t xml:space="preserve">Tech. Mem. NMFS-AFSC-456. U.S. Dep. Commer., NOAA.</w:t>
      </w:r>
      <w:r>
        <w:t xml:space="preserve"> </w:t>
      </w:r>
      <w:hyperlink r:id="rId239">
        <w:r>
          <w:rPr>
            <w:rStyle w:val="Hyperlink"/>
          </w:rPr>
          <w:t xml:space="preserve">https://doi.org/10.25923/1wwh-q418</w:t>
        </w:r>
      </w:hyperlink>
      <w:r>
        <w:t xml:space="preserve">.</w:t>
      </w:r>
    </w:p>
    <w:bookmarkEnd w:id="240"/>
    <w:bookmarkStart w:id="242" w:name="ref-stock2021"/>
    <w:p>
      <w:pPr>
        <w:pStyle w:val="Bibliography"/>
      </w:pPr>
      <w:r>
        <w:t xml:space="preserve">Stock, Brian C., and Timothy J. Miller. 2021.</w:t>
      </w:r>
      <w:r>
        <w:t xml:space="preserve"> </w:t>
      </w:r>
      <w:r>
        <w:t xml:space="preserve">“The</w:t>
      </w:r>
      <w:r>
        <w:t xml:space="preserve"> </w:t>
      </w:r>
      <w:r>
        <w:t xml:space="preserve">Woods Hole Assessment Model</w:t>
      </w:r>
      <w:r>
        <w:t xml:space="preserve"> </w:t>
      </w:r>
      <w:r>
        <w:t xml:space="preserve">(</w:t>
      </w:r>
      <w:r>
        <w:t xml:space="preserve">WHAM</w:t>
      </w:r>
      <w:r>
        <w:t xml:space="preserve">):</w:t>
      </w:r>
      <w:r>
        <w:t xml:space="preserve"> </w:t>
      </w:r>
      <w:r>
        <w:t xml:space="preserve">A</w:t>
      </w:r>
      <w:r>
        <w:t xml:space="preserve"> </w:t>
      </w:r>
      <w:r>
        <w:t xml:space="preserve">General State-Space Assessment Framework That Incorporates Time- and Age-Varying Processes via Random Effects and Links to Environmental Covariates.”</w:t>
      </w:r>
      <w:r>
        <w:t xml:space="preserve"> </w:t>
      </w:r>
      <w:r>
        <w:rPr>
          <w:i/>
          <w:iCs/>
        </w:rPr>
        <w:t xml:space="preserve">Fisheries Research</w:t>
      </w:r>
      <w:r>
        <w:t xml:space="preserve"> </w:t>
      </w:r>
      <w:r>
        <w:t xml:space="preserve">240 (August): 105967.</w:t>
      </w:r>
      <w:r>
        <w:t xml:space="preserve"> </w:t>
      </w:r>
      <w:hyperlink r:id="rId241">
        <w:r>
          <w:rPr>
            <w:rStyle w:val="Hyperlink"/>
          </w:rPr>
          <w:t xml:space="preserve">https://doi.org/10.1016/j.fishres.2021.105967</w:t>
        </w:r>
      </w:hyperlink>
      <w:r>
        <w:t xml:space="preserve">.</w:t>
      </w:r>
    </w:p>
    <w:bookmarkEnd w:id="242"/>
    <w:bookmarkStart w:id="244" w:name="ref-Thorson2018"/>
    <w:p>
      <w:pPr>
        <w:pStyle w:val="Bibliography"/>
      </w:pPr>
      <w:r>
        <w:t xml:space="preserve">Thorson, J. T. 2018.</w:t>
      </w:r>
      <w:r>
        <w:t xml:space="preserve"> </w:t>
      </w:r>
      <w:r>
        <w:t xml:space="preserve">“Three Problems with the Conventional Delta-Model for Biomass Sampling Data, and a Computationally Efficient Alternative.”</w:t>
      </w:r>
      <w:r>
        <w:t xml:space="preserve"> </w:t>
      </w:r>
      <w:r>
        <w:rPr>
          <w:i/>
          <w:iCs/>
        </w:rPr>
        <w:t xml:space="preserve">Canadian Journal of Fisheries and Aquatic Sciences</w:t>
      </w:r>
      <w:r>
        <w:t xml:space="preserve"> </w:t>
      </w:r>
      <w:r>
        <w:t xml:space="preserve">75 (9): 1369–82.</w:t>
      </w:r>
      <w:r>
        <w:t xml:space="preserve"> </w:t>
      </w:r>
      <w:hyperlink r:id="rId243">
        <w:r>
          <w:rPr>
            <w:rStyle w:val="Hyperlink"/>
          </w:rPr>
          <w:t xml:space="preserve">https://doi.org/10.1139/cjfas-2017-0266</w:t>
        </w:r>
      </w:hyperlink>
      <w:r>
        <w:t xml:space="preserve">.</w:t>
      </w:r>
    </w:p>
    <w:bookmarkEnd w:id="244"/>
    <w:bookmarkStart w:id="246" w:name="ref-Thorson2019"/>
    <w:p>
      <w:pPr>
        <w:pStyle w:val="Bibliography"/>
      </w:pPr>
      <w:r>
        <w:t xml:space="preserve">———. 2019.</w:t>
      </w:r>
      <w:r>
        <w:t xml:space="preserve"> </w:t>
      </w:r>
      <w:r>
        <w:t xml:space="preserve">“Measuring the Impact of Oceanographic Indices on Species Distribution Shifts: The Spatially Varying Effect of Cold‐pool Extent in the Eastern Bering Sea.”</w:t>
      </w:r>
      <w:r>
        <w:t xml:space="preserve"> </w:t>
      </w:r>
      <w:r>
        <w:rPr>
          <w:i/>
          <w:iCs/>
        </w:rPr>
        <w:t xml:space="preserve">Limnology and Oceanography</w:t>
      </w:r>
      <w:r>
        <w:t xml:space="preserve"> </w:t>
      </w:r>
      <w:r>
        <w:t xml:space="preserve">64 (6): 2632–45.</w:t>
      </w:r>
      <w:r>
        <w:t xml:space="preserve"> </w:t>
      </w:r>
      <w:hyperlink r:id="rId245">
        <w:r>
          <w:rPr>
            <w:rStyle w:val="Hyperlink"/>
          </w:rPr>
          <w:t xml:space="preserve">https://doi.org/10.1002/lno.11238</w:t>
        </w:r>
      </w:hyperlink>
      <w:r>
        <w:t xml:space="preserve">.</w:t>
      </w:r>
    </w:p>
    <w:bookmarkEnd w:id="246"/>
    <w:bookmarkStart w:id="247" w:name="ref-Thorson2024"/>
    <w:p>
      <w:pPr>
        <w:pStyle w:val="Bibliography"/>
      </w:pPr>
      <w:r>
        <w:t xml:space="preserve">Thorson, J. T., S. C. Anderson, P. Goddard, and C. N. Rooper. 2024.</w:t>
      </w:r>
      <w:r>
        <w:t xml:space="preserve"> </w:t>
      </w:r>
      <w:r>
        <w:t xml:space="preserve">“tinyVAST: R Package with an Expressive Interface to Specify Lagged and Simultaneous Effects in Multivariate Spatio-Temporal Models.”</w:t>
      </w:r>
      <w:r>
        <w:t xml:space="preserve"> </w:t>
      </w:r>
      <w:r>
        <w:rPr>
          <w:i/>
          <w:iCs/>
        </w:rPr>
        <w:t xml:space="preserve">arXiv Preprint</w:t>
      </w:r>
      <w:r>
        <w:t xml:space="preserve"> </w:t>
      </w:r>
      <w:r>
        <w:t xml:space="preserve">arXiv:2401.10193.</w:t>
      </w:r>
    </w:p>
    <w:bookmarkEnd w:id="247"/>
    <w:bookmarkStart w:id="249" w:name="ref-Thorson2016"/>
    <w:p>
      <w:pPr>
        <w:pStyle w:val="Bibliography"/>
      </w:pPr>
      <w:r>
        <w:t xml:space="preserve">Thorson, J. T., and K. Kristensen. 2016.</w:t>
      </w:r>
      <w:r>
        <w:t xml:space="preserve"> </w:t>
      </w:r>
      <w:r>
        <w:t xml:space="preserve">“Implementing a Generic Method for Bias Correction in Statistical Models Using Random Effects, with Spatial and Population Dynamics Examples.”</w:t>
      </w:r>
      <w:r>
        <w:t xml:space="preserve"> </w:t>
      </w:r>
      <w:r>
        <w:rPr>
          <w:i/>
          <w:iCs/>
        </w:rPr>
        <w:t xml:space="preserve">Fisheries Research</w:t>
      </w:r>
      <w:r>
        <w:t xml:space="preserve"> </w:t>
      </w:r>
      <w:r>
        <w:t xml:space="preserve">175: 66–74.</w:t>
      </w:r>
      <w:r>
        <w:t xml:space="preserve"> </w:t>
      </w:r>
      <w:hyperlink r:id="rId248">
        <w:r>
          <w:rPr>
            <w:rStyle w:val="Hyperlink"/>
          </w:rPr>
          <w:t xml:space="preserve">https://doi.org/10.1016/j.fishres.2015.11.016</w:t>
        </w:r>
      </w:hyperlink>
      <w:r>
        <w:t xml:space="preserve">.</w:t>
      </w:r>
    </w:p>
    <w:bookmarkEnd w:id="249"/>
    <w:bookmarkStart w:id="251" w:name="ref-trijoulet2020"/>
    <w:p>
      <w:pPr>
        <w:pStyle w:val="Bibliography"/>
      </w:pPr>
      <w:r>
        <w:t xml:space="preserve">Trijoulet, Vanessa, Gavin Fay, and Timothy J. Miller. 2020.</w:t>
      </w:r>
      <w:r>
        <w:t xml:space="preserve"> </w:t>
      </w:r>
      <w:r>
        <w:t xml:space="preserve">“Performance of a State-Space Multispecies Model: What Are the Consequences of Ignoring Predation and Process Errors in Stock Assessments?”</w:t>
      </w:r>
      <w:r>
        <w:t xml:space="preserve"> </w:t>
      </w:r>
      <w:r>
        <w:rPr>
          <w:i/>
          <w:iCs/>
        </w:rPr>
        <w:t xml:space="preserve">Journal of Applied Ecology</w:t>
      </w:r>
      <w:r>
        <w:t xml:space="preserve"> </w:t>
      </w:r>
      <w:r>
        <w:t xml:space="preserve">57 (1): 121–35. https://doi.org/</w:t>
      </w:r>
      <w:hyperlink r:id="rId250">
        <w:r>
          <w:rPr>
            <w:rStyle w:val="Hyperlink"/>
          </w:rPr>
          <w:t xml:space="preserve">https://doi.org/10.1111/1365-2664.13515</w:t>
        </w:r>
      </w:hyperlink>
      <w:r>
        <w:t xml:space="preserve">.</w:t>
      </w:r>
    </w:p>
    <w:bookmarkEnd w:id="251"/>
    <w:bookmarkStart w:id="252" w:name="ref-urmy2025"/>
    <w:p>
      <w:pPr>
        <w:pStyle w:val="Bibliography"/>
      </w:pPr>
      <w:r>
        <w:t xml:space="preserve">Urmy, Samuel S., Patrick Ressler, and Alex De Robertis. 2025.</w:t>
      </w:r>
      <w:r>
        <w:t xml:space="preserve"> </w:t>
      </w:r>
      <w:r>
        <w:t xml:space="preserve">“Estimating Uncertainty from Multiple Sources in Acoustic-Trawl Surveys.”</w:t>
      </w:r>
      <w:r>
        <w:t xml:space="preserve"> </w:t>
      </w:r>
      <w:r>
        <w:rPr>
          <w:i/>
          <w:iCs/>
        </w:rPr>
        <w:t xml:space="preserve">Unpublished Manuscript</w:t>
      </w:r>
      <w:r>
        <w:t xml:space="preserve">, May.</w:t>
      </w:r>
    </w:p>
    <w:bookmarkEnd w:id="252"/>
    <w:bookmarkEnd w:id="253"/>
    <w:bookmarkEnd w:id="254"/>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02" Target="media/rId102.png" /><Relationship Type="http://schemas.openxmlformats.org/officeDocument/2006/relationships/image" Id="rId106" Target="media/rId106.png" /><Relationship Type="http://schemas.openxmlformats.org/officeDocument/2006/relationships/image" Id="rId97" Target="media/rId97.png" /><Relationship Type="http://schemas.openxmlformats.org/officeDocument/2006/relationships/image" Id="rId135" Target="media/rId135.png" /><Relationship Type="http://schemas.openxmlformats.org/officeDocument/2006/relationships/image" Id="rId139" Target="media/rId139.png" /><Relationship Type="http://schemas.openxmlformats.org/officeDocument/2006/relationships/image" Id="rId160" Target="media/rId160.png" /><Relationship Type="http://schemas.openxmlformats.org/officeDocument/2006/relationships/image" Id="rId164" Target="media/rId164.png" /><Relationship Type="http://schemas.openxmlformats.org/officeDocument/2006/relationships/image" Id="rId145" Target="media/rId145.png" /><Relationship Type="http://schemas.openxmlformats.org/officeDocument/2006/relationships/image" Id="rId149" Target="media/rId149.png" /><Relationship Type="http://schemas.openxmlformats.org/officeDocument/2006/relationships/image" Id="rId153" Target="media/rId153.png" /><Relationship Type="http://schemas.openxmlformats.org/officeDocument/2006/relationships/image" Id="rId169" Target="media/rId169.png" /><Relationship Type="http://schemas.openxmlformats.org/officeDocument/2006/relationships/image" Id="rId173" Target="media/rId173.png" /><Relationship Type="http://schemas.openxmlformats.org/officeDocument/2006/relationships/image" Id="rId178" Target="media/rId178.png" /><Relationship Type="http://schemas.openxmlformats.org/officeDocument/2006/relationships/image" Id="rId182" Target="media/rId182.png" /><Relationship Type="http://schemas.openxmlformats.org/officeDocument/2006/relationships/image" Id="rId119" Target="media/rId119.png" /><Relationship Type="http://schemas.openxmlformats.org/officeDocument/2006/relationships/image" Id="rId131" Target="media/rId131.png" /><Relationship Type="http://schemas.openxmlformats.org/officeDocument/2006/relationships/image" Id="rId123" Target="media/rId123.png" /><Relationship Type="http://schemas.openxmlformats.org/officeDocument/2006/relationships/image" Id="rId127" Target="media/rId127.png" /><Relationship Type="http://schemas.openxmlformats.org/officeDocument/2006/relationships/image" Id="rId111" Target="media/rId111.png" /><Relationship Type="http://schemas.openxmlformats.org/officeDocument/2006/relationships/image" Id="rId47" Target="media/rId47.png" /><Relationship Type="http://schemas.openxmlformats.org/officeDocument/2006/relationships/image" Id="rId43" Target="media/rId43.png" /><Relationship Type="http://schemas.openxmlformats.org/officeDocument/2006/relationships/image" Id="rId193" Target="media/rId193.png" /><Relationship Type="http://schemas.openxmlformats.org/officeDocument/2006/relationships/image" Id="rId188" Target="media/rId188.png" /><Relationship Type="http://schemas.openxmlformats.org/officeDocument/2006/relationships/image" Id="rId67" Target="media/rId67.png" /><Relationship Type="http://schemas.openxmlformats.org/officeDocument/2006/relationships/image" Id="rId63" Target="media/rId63.png" /><Relationship Type="http://schemas.openxmlformats.org/officeDocument/2006/relationships/image" Id="rId27" Target="media/rId27.png" /><Relationship Type="http://schemas.openxmlformats.org/officeDocument/2006/relationships/image" Id="rId23" Target="media/rId23.png" /><Relationship Type="http://schemas.openxmlformats.org/officeDocument/2006/relationships/image" Id="rId59" Target="media/rId59.png" /><Relationship Type="http://schemas.openxmlformats.org/officeDocument/2006/relationships/image" Id="rId86" Target="media/rId86.png" /><Relationship Type="http://schemas.openxmlformats.org/officeDocument/2006/relationships/image" Id="rId90" Target="media/rId90.png" /><Relationship Type="http://schemas.openxmlformats.org/officeDocument/2006/relationships/image" Id="rId82" Target="media/rId82.png" /><Relationship Type="http://schemas.openxmlformats.org/officeDocument/2006/relationships/image" Id="rId78" Target="media/rId78.png" /><Relationship Type="http://schemas.openxmlformats.org/officeDocument/2006/relationships/image" Id="rId74" Target="media/rId74.png" /><Relationship Type="http://schemas.openxmlformats.org/officeDocument/2006/relationships/image" Id="rId55" Target="media/rId55.png" /><Relationship Type="http://schemas.openxmlformats.org/officeDocument/2006/relationships/image" Id="rId39" Target="media/rId39.png" /><Relationship Type="http://schemas.openxmlformats.org/officeDocument/2006/relationships/image" Id="rId35" Target="media/rId35.png" /><Relationship Type="http://schemas.openxmlformats.org/officeDocument/2006/relationships/image" Id="rId31" Target="media/rId31.png" /><Relationship Type="http://schemas.openxmlformats.org/officeDocument/2006/relationships/hyperlink" Id="rId227" Target="http://afsc-assessments.github.io/EBSpollock/" TargetMode="External" /><Relationship Type="http://schemas.openxmlformats.org/officeDocument/2006/relationships/hyperlink" Id="rId221" Target="http://florianhartig.github.io/DHARMa/" TargetMode="External" /><Relationship Type="http://schemas.openxmlformats.org/officeDocument/2006/relationships/hyperlink" Id="rId21" Target="https://afsc-assessments.github.io/ebswp/index.html" TargetMode="External" /><Relationship Type="http://schemas.openxmlformats.org/officeDocument/2006/relationships/hyperlink" Id="rId245" Target="https://doi.org/10.1002/lno.11238" TargetMode="External" /><Relationship Type="http://schemas.openxmlformats.org/officeDocument/2006/relationships/hyperlink" Id="rId230" Target="https://doi.org/10.1016/j.fishres.2012.10.012" TargetMode="External" /><Relationship Type="http://schemas.openxmlformats.org/officeDocument/2006/relationships/hyperlink" Id="rId232" Target="https://doi.org/10.1016/j.fishres.2014.01.014" TargetMode="External" /><Relationship Type="http://schemas.openxmlformats.org/officeDocument/2006/relationships/hyperlink" Id="rId248" Target="https://doi.org/10.1016/j.fishres.2015.11.016" TargetMode="External" /><Relationship Type="http://schemas.openxmlformats.org/officeDocument/2006/relationships/hyperlink" Id="rId241" Target="https://doi.org/10.1016/j.fishres.2021.105967" TargetMode="External" /><Relationship Type="http://schemas.openxmlformats.org/officeDocument/2006/relationships/hyperlink" Id="rId210" Target="https://doi.org/10.1016/j.fishres.2022.106303" TargetMode="External" /><Relationship Type="http://schemas.openxmlformats.org/officeDocument/2006/relationships/hyperlink" Id="rId218" Target="https://doi.org/10.1080/10618600.1996.10474708" TargetMode="External" /><Relationship Type="http://schemas.openxmlformats.org/officeDocument/2006/relationships/hyperlink" Id="rId234" Target="https://doi.org/10.1093/icesjms/fsab078" TargetMode="External" /><Relationship Type="http://schemas.openxmlformats.org/officeDocument/2006/relationships/hyperlink" Id="rId212" Target="https://doi.org/10.1101/2022.03.24.485545" TargetMode="External" /><Relationship Type="http://schemas.openxmlformats.org/officeDocument/2006/relationships/hyperlink" Id="rId250" Target="https://doi.org/10.1111/1365-2664.13515" TargetMode="External" /><Relationship Type="http://schemas.openxmlformats.org/officeDocument/2006/relationships/hyperlink" Id="rId216" Target="https://doi.org/10.1111/faf.12891" TargetMode="External" /><Relationship Type="http://schemas.openxmlformats.org/officeDocument/2006/relationships/hyperlink" Id="rId236" Target="https://doi.org/10.1111/fog.12494" TargetMode="External" /><Relationship Type="http://schemas.openxmlformats.org/officeDocument/2006/relationships/hyperlink" Id="rId243" Target="https://doi.org/10.1139/cjfas-2017-0266" TargetMode="External" /><Relationship Type="http://schemas.openxmlformats.org/officeDocument/2006/relationships/hyperlink" Id="rId223" Target="https://doi.org/10.1139/cjfas-2018-0112" TargetMode="External" /><Relationship Type="http://schemas.openxmlformats.org/officeDocument/2006/relationships/hyperlink" Id="rId239" Target="https://doi.org/10.25923/1wwh-q418" TargetMode="External" /><Relationship Type="http://schemas.openxmlformats.org/officeDocument/2006/relationships/hyperlink" Id="rId144" Target="https://github.com/noaa-afsc/EBS_pollock/tree/main/runs/SAM/poll24" TargetMode="External" /><Relationship Type="http://schemas.openxmlformats.org/officeDocument/2006/relationships/hyperlink" Id="rId159" Target="https://github.com/noaa-afsc/EBS_pollock/tree/main/runs/wham" TargetMode="External" /><Relationship Type="http://schemas.openxmlformats.org/officeDocument/2006/relationships/hyperlink" Id="rId225" Target="https://www.npfmc.org/wp-content/PDFdocuments/SAFE/2024/EBSmultispp.pdf" TargetMode="External" /></Relationships>
</file>

<file path=word/_rels/footnotes.xml.rels><?xml version="1.0" encoding="UTF-8"?><Relationships xmlns="http://schemas.openxmlformats.org/package/2006/relationships"><Relationship Type="http://schemas.openxmlformats.org/officeDocument/2006/relationships/hyperlink" Id="rId227" Target="http://afsc-assessments.github.io/EBSpollock/" TargetMode="External" /><Relationship Type="http://schemas.openxmlformats.org/officeDocument/2006/relationships/hyperlink" Id="rId221" Target="http://florianhartig.github.io/DHARMa/" TargetMode="External" /><Relationship Type="http://schemas.openxmlformats.org/officeDocument/2006/relationships/hyperlink" Id="rId21" Target="https://afsc-assessments.github.io/ebswp/index.html" TargetMode="External" /><Relationship Type="http://schemas.openxmlformats.org/officeDocument/2006/relationships/hyperlink" Id="rId245" Target="https://doi.org/10.1002/lno.11238" TargetMode="External" /><Relationship Type="http://schemas.openxmlformats.org/officeDocument/2006/relationships/hyperlink" Id="rId230" Target="https://doi.org/10.1016/j.fishres.2012.10.012" TargetMode="External" /><Relationship Type="http://schemas.openxmlformats.org/officeDocument/2006/relationships/hyperlink" Id="rId232" Target="https://doi.org/10.1016/j.fishres.2014.01.014" TargetMode="External" /><Relationship Type="http://schemas.openxmlformats.org/officeDocument/2006/relationships/hyperlink" Id="rId248" Target="https://doi.org/10.1016/j.fishres.2015.11.016" TargetMode="External" /><Relationship Type="http://schemas.openxmlformats.org/officeDocument/2006/relationships/hyperlink" Id="rId241" Target="https://doi.org/10.1016/j.fishres.2021.105967" TargetMode="External" /><Relationship Type="http://schemas.openxmlformats.org/officeDocument/2006/relationships/hyperlink" Id="rId210" Target="https://doi.org/10.1016/j.fishres.2022.106303" TargetMode="External" /><Relationship Type="http://schemas.openxmlformats.org/officeDocument/2006/relationships/hyperlink" Id="rId218" Target="https://doi.org/10.1080/10618600.1996.10474708" TargetMode="External" /><Relationship Type="http://schemas.openxmlformats.org/officeDocument/2006/relationships/hyperlink" Id="rId234" Target="https://doi.org/10.1093/icesjms/fsab078" TargetMode="External" /><Relationship Type="http://schemas.openxmlformats.org/officeDocument/2006/relationships/hyperlink" Id="rId212" Target="https://doi.org/10.1101/2022.03.24.485545" TargetMode="External" /><Relationship Type="http://schemas.openxmlformats.org/officeDocument/2006/relationships/hyperlink" Id="rId250" Target="https://doi.org/10.1111/1365-2664.13515" TargetMode="External" /><Relationship Type="http://schemas.openxmlformats.org/officeDocument/2006/relationships/hyperlink" Id="rId216" Target="https://doi.org/10.1111/faf.12891" TargetMode="External" /><Relationship Type="http://schemas.openxmlformats.org/officeDocument/2006/relationships/hyperlink" Id="rId236" Target="https://doi.org/10.1111/fog.12494" TargetMode="External" /><Relationship Type="http://schemas.openxmlformats.org/officeDocument/2006/relationships/hyperlink" Id="rId243" Target="https://doi.org/10.1139/cjfas-2017-0266" TargetMode="External" /><Relationship Type="http://schemas.openxmlformats.org/officeDocument/2006/relationships/hyperlink" Id="rId223" Target="https://doi.org/10.1139/cjfas-2018-0112" TargetMode="External" /><Relationship Type="http://schemas.openxmlformats.org/officeDocument/2006/relationships/hyperlink" Id="rId239" Target="https://doi.org/10.25923/1wwh-q418" TargetMode="External" /><Relationship Type="http://schemas.openxmlformats.org/officeDocument/2006/relationships/hyperlink" Id="rId144" Target="https://github.com/noaa-afsc/EBS_pollock/tree/main/runs/SAM/poll24" TargetMode="External" /><Relationship Type="http://schemas.openxmlformats.org/officeDocument/2006/relationships/hyperlink" Id="rId159" Target="https://github.com/noaa-afsc/EBS_pollock/tree/main/runs/wham" TargetMode="External" /><Relationship Type="http://schemas.openxmlformats.org/officeDocument/2006/relationships/hyperlink" Id="rId225" Target="https://www.npfmc.org/wp-content/PDFdocuments/SAFE/2024/EBSmultispp.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paper for CIE review of the eastern Bering Sea walleye pollock stock assessment</dc:title>
  <dc:creator>Jim Ianelli, Carey McGilliard, Sophia Wassermann</dc:creator>
  <cp:keywords/>
  <dcterms:created xsi:type="dcterms:W3CDTF">2025-09-25T20:58:02Z</dcterms:created>
  <dcterms:modified xsi:type="dcterms:W3CDTF">2025-09-25T20:58:02Z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references.bib</vt:lpwstr>
  </property>
  <property fmtid="{D5CDD505-2E9C-101B-9397-08002B2CF9AE}" pid="5" name="by-author">
    <vt:lpwstr/>
  </property>
  <property fmtid="{D5CDD505-2E9C-101B-9397-08002B2CF9AE}" pid="6" name="date">
    <vt:lpwstr>2025-05-01 00:00</vt:lpwstr>
  </property>
  <property fmtid="{D5CDD505-2E9C-101B-9397-08002B2CF9AE}" pid="7" name="date-format">
    <vt:lpwstr>YYYY-MM-DD HH:mm</vt:lpwstr>
  </property>
  <property fmtid="{D5CDD505-2E9C-101B-9397-08002B2CF9AE}" pid="8" name="editor">
    <vt:lpwstr/>
  </property>
  <property fmtid="{D5CDD505-2E9C-101B-9397-08002B2CF9AE}" pid="9" name="editor_options">
    <vt:lpwstr/>
  </property>
  <property fmtid="{D5CDD505-2E9C-101B-9397-08002B2CF9AE}" pid="10" name="env">
    <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reference-docx">
    <vt:lpwstr>template.docx</vt:lpwstr>
  </property>
  <property fmtid="{D5CDD505-2E9C-101B-9397-08002B2CF9AE}" pid="17" name="subtitle">
    <vt:lpwstr>May 2025, CIE review</vt:lpwstr>
  </property>
  <property fmtid="{D5CDD505-2E9C-101B-9397-08002B2CF9AE}" pid="18" name="toc-title">
    <vt:lpwstr>Table of contents</vt:lpwstr>
  </property>
</Properties>
</file>