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4.png" ContentType="image/png"/>
  <Override PartName="/word/media/rId27.png" ContentType="image/png"/>
  <Override PartName="/word/media/rId38.png" ContentType="image/png"/>
  <Override PartName="/word/media/rId43.png" ContentType="image/png"/>
  <Override PartName="/word/media/rId47.png" ContentType="image/png"/>
  <Override PartName="/word/media/rId51.png" ContentType="image/png"/>
  <Override PartName="/word/media/rId59.png" ContentType="image/png"/>
  <Override PartName="/word/media/rId69.png" ContentType="image/png"/>
  <Override PartName="/word/media/rId73.png" ContentType="image/png"/>
  <Override PartName="/word/media/rId79.png" ContentType="image/png"/>
  <Override PartName="/word/media/rId83.png" ContentType="image/png"/>
  <Override PartName="/word/media/rId55.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Eastern Bering Sea walleye pollock stock assessment research (part 2)</w:t>
      </w:r>
    </w:p>
    <w:p>
      <w:pPr>
        <w:pStyle w:val="Subtitle"/>
      </w:pPr>
      <w:r>
        <w:t xml:space="preserve">September 2025, Plan Team Draft</w:t>
      </w:r>
    </w:p>
    <w:p>
      <w:pPr>
        <w:pStyle w:val="Author"/>
      </w:pPr>
      <w:r>
        <w:t xml:space="preserve">Jim Ianelli, Carey McGilliard, Sophia Wassermann</w:t>
      </w:r>
    </w:p>
    <w:p>
      <w:pPr>
        <w:pStyle w:val="Date"/>
      </w:pPr>
      <w:r>
        <w:t xml:space="preserve">2025-09-25 13:57</w:t>
      </w:r>
    </w:p>
    <w:bookmarkStart w:id="21" w:name="summary"/>
    <w:p>
      <w:pPr>
        <w:pStyle w:val="Heading1"/>
      </w:pPr>
      <w:r>
        <w:t xml:space="preserve">Summary</w:t>
      </w:r>
    </w:p>
    <w:p>
      <w:pPr>
        <w:pStyle w:val="FirstParagraph"/>
      </w:pPr>
      <w:r>
        <w:t xml:space="preserve">This document is a follow-up to the discussion paper presented to the Center for</w:t>
      </w:r>
      <w:r>
        <w:t xml:space="preserve"> </w:t>
      </w:r>
      <w:r>
        <w:t xml:space="preserve">Independent Experts (CIE) review panel prepared in May 2025</w:t>
      </w:r>
      <w:r>
        <w:t xml:space="preserve"> </w:t>
      </w:r>
      <w:r>
        <w:t xml:space="preserve">(</w:t>
      </w:r>
      <w:hyperlink r:id="rId20">
        <w:r>
          <w:rPr>
            <w:rStyle w:val="Hyperlink"/>
          </w:rPr>
          <w:t xml:space="preserve">link here; part 1 of this report</w:t>
        </w:r>
      </w:hyperlink>
      <w:r>
        <w:t xml:space="preserve">).</w:t>
      </w:r>
      <w:r>
        <w:t xml:space="preserve"> </w:t>
      </w:r>
      <w:r>
        <w:t xml:space="preserve">The review panel provided a set of recommendations to enhance the model structure, address</w:t>
      </w:r>
      <w:r>
        <w:t xml:space="preserve"> </w:t>
      </w:r>
      <w:r>
        <w:t xml:space="preserve">key uncertainties, and improve transparency. This is Part 2 in which we show actions taken</w:t>
      </w:r>
      <w:r>
        <w:t xml:space="preserve"> </w:t>
      </w:r>
      <w:r>
        <w:t xml:space="preserve">since the review and is intended inform the September 2025 NPFMC review. It focuses on</w:t>
      </w:r>
      <w:r>
        <w:t xml:space="preserve"> </w:t>
      </w:r>
      <w:r>
        <w:t xml:space="preserve">migrating the operational model from ADMB to RTMB and begins to examine ways to evaluate</w:t>
      </w:r>
      <w:r>
        <w:t xml:space="preserve"> </w:t>
      </w:r>
      <w:r>
        <w:t xml:space="preserve">the influence of the Russian fishery.</w:t>
      </w:r>
    </w:p>
    <w:p>
      <w:pPr>
        <w:pStyle w:val="BodyText"/>
      </w:pPr>
      <w:r>
        <w:t xml:space="preserve">Since the May 2025 CIE review, several key developments have been made in the EBS pollock</w:t>
      </w:r>
      <w:r>
        <w:t xml:space="preserve"> </w:t>
      </w:r>
      <w:r>
        <w:t xml:space="preserve">assessment. The most significant is the completed transition from ADMB to RTMB. The ported</w:t>
      </w:r>
      <w:r>
        <w:t xml:space="preserve"> </w:t>
      </w:r>
      <w:r>
        <w:t xml:space="preserve">model successfully reproduces ADMB results for spawning biomass and recruitment with</w:t>
      </w:r>
      <w:r>
        <w:t xml:space="preserve"> </w:t>
      </w:r>
      <w:r>
        <w:t xml:space="preserve">negligible differences, while enabling greater flexibility in estimating random-walk</w:t>
      </w:r>
      <w:r>
        <w:t xml:space="preserve"> </w:t>
      </w:r>
      <w:r>
        <w:t xml:space="preserve">selectivity and recruitment deviations, propagating error through marginal likelihood, and</w:t>
      </w:r>
      <w:r>
        <w:t xml:space="preserve"> </w:t>
      </w:r>
      <w:r>
        <w:t xml:space="preserve">integrating random effects. This provides a more modern and transparent framework for</w:t>
      </w:r>
      <w:r>
        <w:t xml:space="preserve"> </w:t>
      </w:r>
      <w:r>
        <w:t xml:space="preserve">assessment. Work is also underway to address one of the reviewers’ main concerns—the</w:t>
      </w:r>
      <w:r>
        <w:t xml:space="preserve"> </w:t>
      </w:r>
      <w:r>
        <w:t xml:space="preserve">absence of Russian removals. Scenario modeling is being conducted using Russian catch</w:t>
      </w:r>
      <w:r>
        <w:t xml:space="preserve"> </w:t>
      </w:r>
      <w:r>
        <w:t xml:space="preserve">levels equivalent to 20–45% of U.S. catch, following reviewer guidance and recent</w:t>
      </w:r>
      <w:r>
        <w:t xml:space="preserve"> </w:t>
      </w:r>
      <w:r>
        <w:t xml:space="preserve">publications. These runs will help bound the potential influence of transboundary removals</w:t>
      </w:r>
      <w:r>
        <w:t xml:space="preserve"> </w:t>
      </w:r>
      <w:r>
        <w:t xml:space="preserve">before more collaborative modeling efforts are considered. Other areas highlighted by the</w:t>
      </w:r>
      <w:r>
        <w:t xml:space="preserve"> </w:t>
      </w:r>
      <w:r>
        <w:t xml:space="preserve">review, such as process uncertainty, growth, weight-at-age, and alternative data-weighting</w:t>
      </w:r>
      <w:r>
        <w:t xml:space="preserve"> </w:t>
      </w:r>
      <w:r>
        <w:t xml:space="preserve">approaches, remain planned or deferred. The tools for addressing them, including</w:t>
      </w:r>
      <w:r>
        <w:t xml:space="preserve"> </w:t>
      </w:r>
      <w:r>
        <w:t xml:space="preserve">marginal-likelihood estimation of selectivity variance and Dirichlet–multinomial</w:t>
      </w:r>
      <w:r>
        <w:t xml:space="preserve"> </w:t>
      </w:r>
      <w:r>
        <w:t xml:space="preserve">likelihoods, are now available in RTMB and other platforms, but implementation will follow</w:t>
      </w:r>
      <w:r>
        <w:t xml:space="preserve"> </w:t>
      </w:r>
      <w:r>
        <w:t xml:space="preserve">the Russian catch work to avoid overlapping sources of change.</w:t>
      </w:r>
    </w:p>
    <w:p>
      <w:pPr>
        <w:pStyle w:val="BodyText"/>
      </w:pPr>
      <w:r>
        <w:t xml:space="preserve">Bridging ADMB to RTMB required some adjustments in the ADMB code. These included shifting</w:t>
      </w:r>
      <w:r>
        <w:t xml:space="preserve"> </w:t>
      </w:r>
      <w:r>
        <w:t xml:space="preserve">fishery dome-shaped selectivity penalties to apply at older ages and re-expressing</w:t>
      </w:r>
      <w:r>
        <w:t xml:space="preserve"> </w:t>
      </w:r>
      <w:r>
        <w:t xml:space="preserve">“deviation-about-a-mean”</w:t>
      </w:r>
      <w:r>
        <w:t xml:space="preserve"> </w:t>
      </w:r>
      <w:r>
        <w:t xml:space="preserve">parameterizations as direct level parameters with centered</w:t>
      </w:r>
      <w:r>
        <w:t xml:space="preserve"> </w:t>
      </w:r>
      <w:r>
        <w:t xml:space="preserve">likelihoods. Verification exercises show that RTMB matches ADMB closely when fed identical</w:t>
      </w:r>
      <w:r>
        <w:t xml:space="preserve"> </w:t>
      </w:r>
      <w:r>
        <w:t xml:space="preserve">parameter estimates, with gradients near zero and likelihood components in agreement.</w:t>
      </w:r>
      <w:r>
        <w:t xml:space="preserve"> </w:t>
      </w:r>
      <w:r>
        <w:t xml:space="preserve">Importantly, RTMB’s integration with modern R tools also allows efficient Bayesian</w:t>
      </w:r>
      <w:r>
        <w:t xml:space="preserve"> </w:t>
      </w:r>
      <w:r>
        <w:t xml:space="preserve">sampling, demonstrated with the adnuts R package.</w:t>
      </w:r>
    </w:p>
    <w:p>
      <w:pPr>
        <w:pStyle w:val="BodyText"/>
      </w:pPr>
      <w:r>
        <w:t xml:space="preserve">Beyond model platform changes, comparative analyses were extended. Russian and U.S.</w:t>
      </w:r>
      <w:r>
        <w:t xml:space="preserve"> </w:t>
      </w:r>
      <w:r>
        <w:t xml:space="preserve">assessments of pollock show broadly synchronous signals, particularly for recruitment, but</w:t>
      </w:r>
      <w:r>
        <w:t xml:space="preserve"> </w:t>
      </w:r>
      <w:r>
        <w:t xml:space="preserve">differ markedly in scale: U.S. abundance estimates are typically two to four times greater</w:t>
      </w:r>
      <w:r>
        <w:t xml:space="preserve"> </w:t>
      </w:r>
      <w:r>
        <w:t xml:space="preserve">than Russian estimates, with peaks exceeding fivefold differences in the early 2010s.</w:t>
      </w:r>
      <w:r>
        <w:t xml:space="preserve"> </w:t>
      </w:r>
      <w:r>
        <w:t xml:space="preserve">These differences reflect not only survey coverage and model structure, but also</w:t>
      </w:r>
      <w:r>
        <w:t xml:space="preserve"> </w:t>
      </w:r>
      <w:r>
        <w:t xml:space="preserve">contrasting harvest control rules. Russia has adopted a</w:t>
      </w:r>
      <w:r>
        <w:t xml:space="preserve"> </w:t>
      </w:r>
      <w:r>
        <w:t xml:space="preserve">“modern MSY”</w:t>
      </w:r>
      <w:r>
        <w:t xml:space="preserve"> </w:t>
      </w:r>
      <w:r>
        <w:t xml:space="preserve">approach, with higher</w:t>
      </w:r>
      <w:r>
        <w:t xml:space="preserve"> </w:t>
      </w:r>
      <w:r>
        <w:t xml:space="preserve">target exploitation rates and lower biomass triggers, resulting in higher TACs when</w:t>
      </w:r>
      <w:r>
        <w:t xml:space="preserve"> </w:t>
      </w:r>
      <w:r>
        <w:t xml:space="preserve">recruitment is favorable but greater risk if it falters. The U.S. maintains a more</w:t>
      </w:r>
      <w:r>
        <w:t xml:space="preserve"> </w:t>
      </w:r>
      <w:r>
        <w:t xml:space="preserve">precautionary framework, constraining harvest below</w:t>
      </w:r>
      <w:r>
        <w:t xml:space="preserve"> </w:t>
      </w:r>
      <m:oMath>
        <m:sSub>
          <m:e>
            <m:r>
              <m:t>F</m:t>
            </m:r>
          </m:e>
          <m:sub>
            <m:r>
              <m:t>M</m:t>
            </m:r>
            <m:r>
              <m:t>S</m:t>
            </m:r>
            <m:r>
              <m:t>Y</m:t>
            </m:r>
          </m:sub>
        </m:sSub>
      </m:oMath>
      <w:r>
        <w:t xml:space="preserve"> </w:t>
      </w:r>
      <w:r>
        <w:t xml:space="preserve">and maintaining conservative</w:t>
      </w:r>
      <w:r>
        <w:t xml:space="preserve"> </w:t>
      </w:r>
      <w:r>
        <w:t xml:space="preserve">biomass thresholds, which reduces volatility and risk. The immediate step to harmonize</w:t>
      </w:r>
      <w:r>
        <w:t xml:space="preserve"> </w:t>
      </w:r>
      <w:r>
        <w:t xml:space="preserve">perspectives is the inclusion of Russian removals as a sensitivity analysis in the EBS assessment.</w:t>
      </w:r>
      <w:r>
        <w:t xml:space="preserve"> </w:t>
      </w:r>
      <w:r>
        <w:t xml:space="preserve">A parallel comparison with the Gulf of Alaska pollock stock shows even starker contrasts, with EBS</w:t>
      </w:r>
      <w:r>
        <w:t xml:space="preserve"> </w:t>
      </w:r>
      <w:r>
        <w:t xml:space="preserve">abundances five to fifteen times higher. Some weak coupling is evident at early ages, but</w:t>
      </w:r>
      <w:r>
        <w:t xml:space="preserve"> </w:t>
      </w:r>
      <w:r>
        <w:t xml:space="preserve">overall the two populations are largely decoupled.</w:t>
      </w:r>
    </w:p>
    <w:p>
      <w:pPr>
        <w:pStyle w:val="BodyText"/>
      </w:pPr>
      <w:r>
        <w:t xml:space="preserve">Additional technical notes were added for transparency, better documenting the form of</w:t>
      </w:r>
      <w:r>
        <w:t xml:space="preserve"> </w:t>
      </w:r>
      <w:r>
        <w:t xml:space="preserve">first-difference selectivity penalties in both time and age and confirming lognormal</w:t>
      </w:r>
      <w:r>
        <w:t xml:space="preserve"> </w:t>
      </w:r>
      <w:r>
        <w:t xml:space="preserve">survey likelihood formulations against ADMB. Looking forward, near-term priorities are</w:t>
      </w:r>
      <w:r>
        <w:t xml:space="preserve"> </w:t>
      </w:r>
      <w:r>
        <w:t xml:space="preserve">clear: completing the Russian-catch sensitivity runs, testing marginal-likelihood</w:t>
      </w:r>
      <w:r>
        <w:t xml:space="preserve"> </w:t>
      </w:r>
      <w:r>
        <w:t xml:space="preserve">estimation of selectivity variances, piloting Dirichlet–multinomial likelihoods, and</w:t>
      </w:r>
      <w:r>
        <w:t xml:space="preserve"> </w:t>
      </w:r>
      <w:r>
        <w:t xml:space="preserve">preparing staged analyses of weight-at-age and potential time-varying natural mortality.</w:t>
      </w:r>
      <w:r>
        <w:t xml:space="preserve"> </w:t>
      </w:r>
      <w:r>
        <w:t xml:space="preserve">The platform migration is complete and validated, and the largest remaining source of</w:t>
      </w:r>
      <w:r>
        <w:t xml:space="preserve"> </w:t>
      </w:r>
      <w:r>
        <w:t xml:space="preserve">uncertainty for 2025 advice is the treatment of Russian removals, with process-error and</w:t>
      </w:r>
      <w:r>
        <w:t xml:space="preserve"> </w:t>
      </w:r>
      <w:r>
        <w:t xml:space="preserve">likelihood improvements sequenced to follow that critical step.</w:t>
      </w:r>
    </w:p>
    <w:bookmarkEnd w:id="21"/>
    <w:bookmarkStart w:id="26" w:name="X31ed71a2f20b57da9c16ffe73340f34d613d654"/>
    <w:p>
      <w:pPr>
        <w:pStyle w:val="Heading1"/>
      </w:pPr>
      <w:r>
        <w:t xml:space="preserve">Response to 2025 CIE Review of EBS Walleye Pollock Assessment</w:t>
      </w:r>
    </w:p>
    <w:p>
      <w:pPr>
        <w:pStyle w:val="FirstParagraph"/>
      </w:pPr>
      <w:r>
        <w:t xml:space="preserve">This section outlines the response to the findings and recommendations of the 2025 Center</w:t>
      </w:r>
      <w:r>
        <w:t xml:space="preserve"> </w:t>
      </w:r>
      <w:r>
        <w:t xml:space="preserve">for Independent Experts (CIE) review of the Eastern Bering Sea (EBS) walleye pollock stock</w:t>
      </w:r>
      <w:r>
        <w:t xml:space="preserve"> </w:t>
      </w:r>
      <w:r>
        <w:t xml:space="preserve">assessment. Links to the reviews can be found from</w:t>
      </w:r>
      <w:r>
        <w:t xml:space="preserve"> </w:t>
      </w:r>
      <w:hyperlink r:id="rId22">
        <w:r>
          <w:rPr>
            <w:rStyle w:val="Hyperlink"/>
          </w:rPr>
          <w:t xml:space="preserve">Matt Cieri</w:t>
        </w:r>
      </w:hyperlink>
      <w:r>
        <w:t xml:space="preserve">,</w:t>
      </w:r>
      <w:r>
        <w:t xml:space="preserve"> </w:t>
      </w:r>
      <w:hyperlink r:id="rId23">
        <w:r>
          <w:rPr>
            <w:rStyle w:val="Hyperlink"/>
          </w:rPr>
          <w:t xml:space="preserve">Yan Jiao</w:t>
        </w:r>
      </w:hyperlink>
      <w:r>
        <w:t xml:space="preserve">,</w:t>
      </w:r>
      <w:r>
        <w:t xml:space="preserve"> </w:t>
      </w:r>
      <w:r>
        <w:t xml:space="preserve">and</w:t>
      </w:r>
      <w:r>
        <w:t xml:space="preserve"> </w:t>
      </w:r>
      <w:hyperlink r:id="rId24">
        <w:r>
          <w:rPr>
            <w:rStyle w:val="Hyperlink"/>
          </w:rPr>
          <w:t xml:space="preserve">Anders Nielsen</w:t>
        </w:r>
      </w:hyperlink>
      <w:r>
        <w:t xml:space="preserve">.</w:t>
      </w:r>
    </w:p>
    <w:p>
      <w:pPr>
        <w:pStyle w:val="BodyText"/>
      </w:pPr>
      <w:r>
        <w:t xml:space="preserve">One of the reviewers’ primary concerns was the continued reliance on ADMB. This has now</w:t>
      </w:r>
      <w:r>
        <w:t xml:space="preserve"> </w:t>
      </w:r>
      <w:r>
        <w:t xml:space="preserve">been resolved with the transition to RTMB, which enables easier use of random-effects for selectivity</w:t>
      </w:r>
      <w:r>
        <w:t xml:space="preserve"> </w:t>
      </w:r>
      <w:r>
        <w:t xml:space="preserve">and recruitment deviations.</w:t>
      </w:r>
    </w:p>
    <w:p>
      <w:pPr>
        <w:pStyle w:val="BodyText"/>
      </w:pPr>
      <w:r>
        <w:t xml:space="preserve">Another prominent theme was the absence of Russian removals from the assessment model. All</w:t>
      </w:r>
      <w:r>
        <w:t xml:space="preserve"> </w:t>
      </w:r>
      <w:r>
        <w:t xml:space="preserve">three reviewers emphasized the need to explore the magnitude of this omission, both in</w:t>
      </w:r>
      <w:r>
        <w:t xml:space="preserve"> </w:t>
      </w:r>
      <w:r>
        <w:t xml:space="preserve">terms of sensitivity runs and in better quantifying transboundary exchange. Work is in</w:t>
      </w:r>
      <w:r>
        <w:t xml:space="preserve"> </w:t>
      </w:r>
      <w:r>
        <w:t xml:space="preserve">progress, with planned runs assuming Russian removals of 20–45% of U.S. catch based on</w:t>
      </w:r>
      <w:r>
        <w:t xml:space="preserve"> </w:t>
      </w:r>
      <w:r>
        <w:t xml:space="preserve">(</w:t>
      </w:r>
      <w:r>
        <w:t xml:space="preserve">Japp and Sharov (2024)</w:t>
      </w:r>
      <w:r>
        <w:t xml:space="preserve">) and reviewer guidance. These scenarios will provide bounds on the</w:t>
      </w:r>
      <w:r>
        <w:t xml:space="preserve"> </w:t>
      </w:r>
      <w:r>
        <w:t xml:space="preserve">possible scale of impacts before moving toward more collaborative or joint modeling</w:t>
      </w:r>
      <w:r>
        <w:t xml:space="preserve"> </w:t>
      </w:r>
      <w:r>
        <w:t xml:space="preserve">approaches.</w:t>
      </w:r>
    </w:p>
    <w:p>
      <w:pPr>
        <w:pStyle w:val="BodyText"/>
      </w:pPr>
      <w:r>
        <w:t xml:space="preserve">With respect to process uncertainty, selectivity, and growth, the reviewers identified</w:t>
      </w:r>
      <w:r>
        <w:t xml:space="preserve"> </w:t>
      </w:r>
      <w:r>
        <w:t xml:space="preserve">several areas where additional flexibility could be valuable. Anders recommended</w:t>
      </w:r>
      <w:r>
        <w:t xml:space="preserve"> </w:t>
      </w:r>
      <w:r>
        <w:t xml:space="preserve">estimating process variances for random-walk selectivity penalties using marginal</w:t>
      </w:r>
      <w:r>
        <w:t xml:space="preserve"> </w:t>
      </w:r>
      <w:r>
        <w:t xml:space="preserve">likelihood, rather than fixing them. This aspect is possible within RCEATTLE and SPOCK</w:t>
      </w:r>
      <w:r>
        <w:t xml:space="preserve"> </w:t>
      </w:r>
      <w:r>
        <w:t xml:space="preserve">currently, and is now available in the RTMB version of the pollock model (</w:t>
      </w:r>
      <w:r>
        <w:rPr>
          <w:rStyle w:val="VerbatimChar"/>
        </w:rPr>
        <w:t xml:space="preserve">rpm</w:t>
      </w:r>
      <w:r>
        <w:t xml:space="preserve">). Yan</w:t>
      </w:r>
      <w:r>
        <w:t xml:space="preserve"> </w:t>
      </w:r>
      <w:r>
        <w:t xml:space="preserve">noted that weight-at-age models could incorporate cohort and temperature effects, and also</w:t>
      </w:r>
      <w:r>
        <w:t xml:space="preserve"> </w:t>
      </w:r>
      <w:r>
        <w:t xml:space="preserve">suggested cautious exploration of time-varying natural mortality, potentially informed by</w:t>
      </w:r>
      <w:r>
        <w:t xml:space="preserve"> </w:t>
      </w:r>
      <w:r>
        <w:t xml:space="preserve">multispecies work such as CEATTLE. These issues have been partially addressed, and further</w:t>
      </w:r>
      <w:r>
        <w:t xml:space="preserve"> </w:t>
      </w:r>
      <w:r>
        <w:t xml:space="preserve">exploration of process error variances will follow after the Russian catch work is</w:t>
      </w:r>
      <w:r>
        <w:t xml:space="preserve"> </w:t>
      </w:r>
      <w:r>
        <w:t xml:space="preserve">integrated.</w:t>
      </w:r>
    </w:p>
    <w:p>
      <w:pPr>
        <w:pStyle w:val="BodyText"/>
      </w:pPr>
      <w:r>
        <w:t xml:space="preserve">On data weighting and likelihood specification, Matt Cieri highlighted the potential</w:t>
      </w:r>
      <w:r>
        <w:t xml:space="preserve"> </w:t>
      </w:r>
      <w:r>
        <w:t xml:space="preserve">advantages of a Dirichlet–multinomial (DM) framework and other benefits related to random</w:t>
      </w:r>
      <w:r>
        <w:t xml:space="preserve"> </w:t>
      </w:r>
      <w:r>
        <w:t xml:space="preserve">effects estimation via the Laplace approximation.</w:t>
      </w:r>
      <w:r>
        <w:t xml:space="preserve"> </w:t>
      </w:r>
      <w:r>
        <w:t xml:space="preserve">For now, the bootstrap-based</w:t>
      </w:r>
      <w:r>
        <w:t xml:space="preserve"> </w:t>
      </w:r>
      <w:r>
        <w:t xml:space="preserve">effective sample size approach has been retained, with DM implementation available in</w:t>
      </w:r>
      <w:r>
        <w:t xml:space="preserve"> </w:t>
      </w:r>
      <w:r>
        <w:t xml:space="preserve">three different platforms (RCEATTLE, SPOCK, and rpm).</w:t>
      </w:r>
      <w:r>
        <w:t xml:space="preserve"> </w:t>
      </w:r>
      <w:r>
        <w:t xml:space="preserve">We anticipate examining this as an option in 2026 and seek guidance and advice from</w:t>
      </w:r>
      <w:r>
        <w:t xml:space="preserve"> </w:t>
      </w:r>
      <w:r>
        <w:t xml:space="preserve">the Plan Teams and SSC.</w:t>
      </w:r>
    </w:p>
    <w:p>
      <w:pPr>
        <w:pStyle w:val="BodyText"/>
      </w:pPr>
      <w:r>
        <w:t xml:space="preserve">A consolidated summary of reviewer recommendations and their current status is provided in</w:t>
      </w:r>
      <w:r>
        <w:t xml:space="preserve"> </w:t>
      </w:r>
      <w:hyperlink w:anchor="tbl-cie-final-responses">
        <w:r>
          <w:rPr>
            <w:rStyle w:val="Hyperlink"/>
          </w:rPr>
          <w:t xml:space="preserve">Table 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25" w:name="tbl-cie-final-responses"/>
          <w:p>
            <w:pPr>
              <w:jc w:val="center"/>
            </w:pPr>
            <w:pPr>
              <w:jc w:val="start"/>
              <w:spacing w:before="200"/>
              <w:pStyle w:val="ImageCaption"/>
            </w:pPr>
            <w:r>
              <w:t xml:space="preserve">Table 1: CIE 2025 recommendations and response summary</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start"/>
                  </w:pPr>
                  <w:r>
                    <w:rPr>
                      <w:rFonts w:ascii="Calibri" w:hAnsi="Calibri"/>
                      <w:sz w:val="20"/>
                    </w:rPr>
                    <w:t xml:space="default">Theme</w:t>
                  </w:r>
                </w:p>
              </w:tc>
              <w:tc>
                <w:tcPr>
                  <w:tcBorders>
                    <w:top w:val="single" w:sz="16" w:space="0" w:color="D3D3D3"/>
                    <w:bottom w:val="single" w:sz="16" w:space="0" w:color="D3D3D3"/>
                  </w:tcBorders>
                </w:tcPr>
                <w:p>
                  <w:pPr>
                    <w:spacing w:before="0" w:after="60"/>
                    <w:keepNext/>
                    <w:jc w:val="start"/>
                  </w:pPr>
                  <w:r>
                    <w:rPr>
                      <w:rFonts w:ascii="Calibri" w:hAnsi="Calibri"/>
                      <w:sz w:val="20"/>
                    </w:rPr>
                    <w:t xml:space="default">Lead Reviewer</w:t>
                  </w:r>
                </w:p>
              </w:tc>
              <w:tc>
                <w:tcPr>
                  <w:tcBorders>
                    <w:top w:val="single" w:sz="16" w:space="0" w:color="D3D3D3"/>
                    <w:bottom w:val="single" w:sz="16" w:space="0" w:color="D3D3D3"/>
                  </w:tcBorders>
                </w:tcPr>
                <w:p>
                  <w:pPr>
                    <w:spacing w:before="0" w:after="60"/>
                    <w:keepNext/>
                    <w:jc w:val="start"/>
                  </w:pPr>
                  <w:r>
                    <w:rPr>
                      <w:rFonts w:ascii="Calibri" w:hAnsi="Calibri"/>
                      <w:sz w:val="20"/>
                    </w:rPr>
                    <w:t xml:space="default">Recommendation</w:t>
                  </w:r>
                </w:p>
              </w:tc>
              <w:tc>
                <w:tcPr>
                  <w:tcBorders>
                    <w:top w:val="single" w:sz="16" w:space="0" w:color="D3D3D3"/>
                    <w:bottom w:val="single" w:sz="16" w:space="0" w:color="D3D3D3"/>
                    <w:end w:val="single" w:space="0" w:color="D3D3D3"/>
                  </w:tcBorders>
                </w:tcPr>
                <w:p>
                  <w:pPr>
                    <w:spacing w:before="0" w:after="60"/>
                    <w:keepNext/>
                    <w:jc w:val="start"/>
                  </w:pPr>
                  <w:r>
                    <w:rPr>
                      <w:rFonts w:ascii="Calibri" w:hAnsi="Calibri"/>
                      <w:sz w:val="20"/>
                    </w:rPr>
                    <w:t xml:space="default">Status</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RTMB transition</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All</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Port model from ADMB to RTMB</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Completed</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Russian catch</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All</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Incorporate or test Russian removals</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In progress</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Selectivity complexity</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Nielsen</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Estimate process variances via marginal likelihood</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In progress</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Natural mortality</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Jiao</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Explore M variation and CEATTLE integration</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In progress</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Growth &amp; WAA</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Jiao</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Model cohort and temperature effects on WAA</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Deferred</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Data weighting</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Cieri</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Test Dirichlet-multinomial likelihoods</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Available but deferred</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Retrospective </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Nielsen</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Use Mohn's rho over shorter periods</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Available</w:t>
                  </w:r>
                </w:p>
              </w:tc>
            </w:tr>
          </w:tbl>
          <w:bookmarkEnd w:id="25"/>
        </w:tc>
      </w:tr>
    </w:tbl>
    <w:p>
      <w:pPr>
        <w:pStyle w:val="BodyText"/>
      </w:pPr>
      <w:r>
        <w:t xml:space="preserve">Since the review, we ported the ADMB operational model used in 2024 to</w:t>
      </w:r>
      <w:r>
        <w:t xml:space="preserve"> </w:t>
      </w:r>
      <w:r>
        <w:t xml:space="preserve">RTMB. We verified that outputs match the between versions. Secondly, we have taken initial</w:t>
      </w:r>
      <w:r>
        <w:t xml:space="preserve"> </w:t>
      </w:r>
      <w:r>
        <w:t xml:space="preserve">steps to address the Russian catch uncertainty by comparing of assessments between regions.</w:t>
      </w:r>
    </w:p>
    <w:bookmarkEnd w:id="26"/>
    <w:bookmarkStart w:id="65" w:name="bridging-admb-to-rtmb"/>
    <w:p>
      <w:pPr>
        <w:pStyle w:val="Heading1"/>
      </w:pPr>
      <w:r>
        <w:t xml:space="preserve">Bridging ADMB to RTMB</w:t>
      </w:r>
    </w:p>
    <w:p>
      <w:pPr>
        <w:pStyle w:val="FirstParagraph"/>
      </w:pPr>
      <w:r>
        <w:t xml:space="preserve">The original ADMB code (first developed for application in 1996</w:t>
      </w:r>
      <w:r>
        <w:t xml:space="preserve"> </w:t>
      </w:r>
      <w:r>
        <w:t xml:space="preserve">(J. N. Ianelli and Fournier 1998)</w:t>
      </w:r>
      <w:r>
        <w:t xml:space="preserve">) has</w:t>
      </w:r>
      <w:r>
        <w:t xml:space="preserve"> </w:t>
      </w:r>
      <w:r>
        <w:t xml:space="preserve">evolved over time and has a number of unique features. However, ADMB has less flexibility</w:t>
      </w:r>
      <w:r>
        <w:t xml:space="preserve"> </w:t>
      </w:r>
      <w:r>
        <w:t xml:space="preserve">to incorporate random effects and marginal likelihood estimation. As such, we only adopted the</w:t>
      </w:r>
      <w:r>
        <w:t xml:space="preserve"> </w:t>
      </w:r>
      <w:r>
        <w:t xml:space="preserve">set of features used for the 2024 EBS pollock assessment and fully ported those to RTMB.</w:t>
      </w:r>
      <w:r>
        <w:t xml:space="preserve"> </w:t>
      </w:r>
      <w:r>
        <w:t xml:space="preserve">Features we ommitted included the ability to estimate time-varying natural mortality, predation and overlap</w:t>
      </w:r>
      <w:r>
        <w:t xml:space="preserve"> </w:t>
      </w:r>
      <w:r>
        <w:t xml:space="preserve">factors, and a number of selectivity options to name a few.</w:t>
      </w:r>
      <w:r>
        <w:t xml:space="preserve"> </w:t>
      </w:r>
      <w:r>
        <w:t xml:space="preserve">This transition enables several important enhancements, including the ability to estimate</w:t>
      </w:r>
      <w:r>
        <w:t xml:space="preserve"> </w:t>
      </w:r>
      <w:r>
        <w:t xml:space="preserve">random-walk selectivity and recruitment deviations, improved error propagation through</w:t>
      </w:r>
      <w:r>
        <w:t xml:space="preserve"> </w:t>
      </w:r>
      <w:r>
        <w:t xml:space="preserve">marginal likelihood, and greater transparency for code review and modifications.</w:t>
      </w:r>
    </w:p>
    <w:p>
      <w:pPr>
        <w:pStyle w:val="BodyText"/>
      </w:pPr>
      <w:r>
        <w:t xml:space="preserve">We changed the ADMB code as little as possible to enable it to be compatible and work</w:t>
      </w:r>
      <w:r>
        <w:t xml:space="preserve"> </w:t>
      </w:r>
      <w:r>
        <w:t xml:space="preserve">within the RTMB framework. One change was the use of an</w:t>
      </w:r>
      <w:r>
        <w:t xml:space="preserve"> </w:t>
      </w:r>
      <w:r>
        <w:rPr>
          <w:rStyle w:val="VerbatimChar"/>
        </w:rPr>
        <w:t xml:space="preserve">if</w:t>
      </w:r>
      <w:r>
        <w:t xml:space="preserve"> </w:t>
      </w:r>
      <w:r>
        <w:t xml:space="preserve">statement in the penalty for</w:t>
      </w:r>
      <w:r>
        <w:t xml:space="preserve"> </w:t>
      </w:r>
      <w:r>
        <w:t xml:space="preserve">dome-shaped selectivity in the fishery. In the original ADMB code, the penalty was invoked</w:t>
      </w:r>
      <w:r>
        <w:t xml:space="preserve"> </w:t>
      </w:r>
      <w:r>
        <w:rPr>
          <w:i/>
          <w:iCs/>
        </w:rPr>
        <w:t xml:space="preserve">if</w:t>
      </w:r>
      <w:r>
        <w:t xml:space="preserve"> </w:t>
      </w:r>
      <w:r>
        <w:t xml:space="preserve">the selectivity at one age was less than the selectivity at the previous adjacent</w:t>
      </w:r>
      <w:r>
        <w:t xml:space="preserve"> </w:t>
      </w:r>
      <w:r>
        <w:t xml:space="preserve">younger age. The modification to this was simply to penalize log-selectivities of adjacent</w:t>
      </w:r>
      <w:r>
        <w:t xml:space="preserve"> </w:t>
      </w:r>
      <w:r>
        <w:t xml:space="preserve">age groups older than age 6.</w:t>
      </w:r>
    </w:p>
    <w:p>
      <w:pPr>
        <w:pStyle w:val="BodyText"/>
      </w:pPr>
      <w:r>
        <w:t xml:space="preserve">The ADMB code also has several cases where say</w:t>
      </w:r>
      <w:r>
        <w:t xml:space="preserve"> </w:t>
      </w:r>
      <m:oMath>
        <m:sSub>
          <m:e>
            <m:r>
              <m:t>y</m:t>
            </m:r>
          </m:e>
          <m:sub>
            <m:r>
              <m:t>i</m:t>
            </m:r>
          </m:sub>
        </m:sSub>
      </m:oMath>
      <w:r>
        <w:t xml:space="preserve"> </w:t>
      </w:r>
      <w:r>
        <w:t xml:space="preserve">is a function of a parameter</w:t>
      </w:r>
      <w:r>
        <w:t xml:space="preserve"> </w:t>
      </w:r>
      <m:oMath>
        <m:r>
          <m:t>θ</m:t>
        </m:r>
      </m:oMath>
      <w:r>
        <w:t xml:space="preserve"> </w:t>
      </w:r>
      <w:r>
        <w:t xml:space="preserve">and a deviation</w:t>
      </w:r>
      <w:r>
        <w:t xml:space="preserve"> </w:t>
      </w:r>
      <m:oMath>
        <m:sSub>
          <m:e>
            <m:r>
              <m:t>ϵ</m:t>
            </m:r>
          </m:e>
          <m:sub>
            <m:r>
              <m:t>i</m:t>
            </m:r>
          </m:sub>
        </m:sSub>
      </m:oMath>
      <w:r>
        <w:t xml:space="preserve"> </w:t>
      </w:r>
      <w:r>
        <w:t xml:space="preserve">such that</w:t>
      </w:r>
      <w:r>
        <w:t xml:space="preserve"> </w:t>
      </w:r>
      <m:oMath>
        <m:sSub>
          <m:e>
            <m:r>
              <m:t>y</m:t>
            </m:r>
          </m:e>
          <m:sub>
            <m:r>
              <m:t>i</m:t>
            </m:r>
          </m:sub>
        </m:sSub>
        <m:r>
          <m:rPr>
            <m:sty m:val="p"/>
          </m:rPr>
          <m:t>=</m:t>
        </m:r>
        <m:r>
          <m:t>θ</m:t>
        </m:r>
        <m:r>
          <m:rPr>
            <m:sty m:val="p"/>
          </m:rPr>
          <m:t>+</m:t>
        </m:r>
        <m:sSub>
          <m:e>
            <m:r>
              <m:t>ϵ</m:t>
            </m:r>
          </m:e>
          <m:sub>
            <m:r>
              <m:t>i</m:t>
            </m:r>
          </m:sub>
        </m:sSub>
      </m:oMath>
      <w:r>
        <w:t xml:space="preserve">. In ADMB, the</w:t>
      </w:r>
      <w:r>
        <w:t xml:space="preserve"> </w:t>
      </w:r>
      <w:r>
        <w:t xml:space="preserve">deviations are estimated as a vector of parameters with a constraint to have mean zero.,</w:t>
      </w:r>
      <w:r>
        <w:t xml:space="preserve"> </w:t>
      </w:r>
      <w:r>
        <w:t xml:space="preserve">In RTMB, it seems best to reparameterize them as a simple vector of parameters (say as</w:t>
      </w:r>
      <w:r>
        <w:t xml:space="preserve"> </w:t>
      </w:r>
      <m:oMath>
        <m:sSub>
          <m:e>
            <m:r>
              <m:t>θ</m:t>
            </m:r>
          </m:e>
          <m:sub>
            <m:r>
              <m:t>i</m:t>
            </m:r>
          </m:sub>
        </m:sSub>
      </m:oMath>
      <w:r>
        <w:t xml:space="preserve">) and then do the likelihood parts as deviations from the mean. To this end, we</w:t>
      </w:r>
      <w:r>
        <w:t xml:space="preserve"> </w:t>
      </w:r>
      <w:r>
        <w:t xml:space="preserve">modified the original ADMB parameterization to from estimating a mean and time-varying deviations</w:t>
      </w:r>
      <w:r>
        <w:t xml:space="preserve"> </w:t>
      </w:r>
      <w:r>
        <w:t xml:space="preserve">from that mean to simply a vector of values over time.</w:t>
      </w:r>
      <w:r>
        <w:t xml:space="preserve"> </w:t>
      </w:r>
      <w:r>
        <w:t xml:space="preserve">These changes resulted in changes in the pattern of spawning biomass and</w:t>
      </w:r>
      <w:r>
        <w:t xml:space="preserve"> </w:t>
      </w:r>
      <w:r>
        <w:t xml:space="preserve">recruitment estimates among the 2024 ADMB model and the 2024 modified version of the ADMB</w:t>
      </w:r>
      <w:r>
        <w:t xml:space="preserve"> </w:t>
      </w:r>
      <w:r>
        <w:t xml:space="preserve">model used for comparisons with the RTMB results (</w:t>
      </w:r>
      <w:hyperlink w:anchor="fig-admbdiffs">
        <w:r>
          <w:rPr>
            <w:rStyle w:val="Hyperlink"/>
          </w:rPr>
          <w:t xml:space="preserve">Figure 1</w:t>
        </w:r>
      </w:hyperlink>
      <w:r>
        <w:t xml:space="preserve">). We note that the main</w:t>
      </w:r>
      <w:r>
        <w:t xml:space="preserve"> </w:t>
      </w:r>
      <w:r>
        <w:t xml:space="preserve">cause of the differences between the original ADMB and the modified ADMB is the change in the</w:t>
      </w:r>
      <w:r>
        <w:t xml:space="preserve"> </w:t>
      </w:r>
      <w:r>
        <w:t xml:space="preserve">way the dome-shaped selectivity penalty is applied.</w:t>
      </w:r>
    </w:p>
    <w:p>
      <w:pPr>
        <w:pStyle w:val="SourceCode"/>
      </w:pPr>
      <w:r>
        <w:rPr>
          <w:rStyle w:val="FunctionTok"/>
        </w:rPr>
        <w:t xml:space="preserve">library</w:t>
      </w:r>
      <w:r>
        <w:rPr>
          <w:rStyle w:val="NormalTok"/>
        </w:rPr>
        <w:t xml:space="preserve">(ebswp)</w:t>
      </w:r>
      <w:r>
        <w:br/>
      </w:r>
      <w:r>
        <w:rPr>
          <w:rStyle w:val="FunctionTok"/>
        </w:rPr>
        <w:t xml:space="preserve">library</w:t>
      </w:r>
      <w:r>
        <w:rPr>
          <w:rStyle w:val="NormalTok"/>
        </w:rPr>
        <w:t xml:space="preserve">(patchwork)</w:t>
      </w:r>
      <w:r>
        <w:br/>
      </w:r>
      <w:r>
        <w:rPr>
          <w:rStyle w:val="NormalTok"/>
        </w:rPr>
        <w:t xml:space="preserve">pm_orig </w:t>
      </w:r>
      <w:r>
        <w:rPr>
          <w:rStyle w:val="OtherTok"/>
        </w:rPr>
        <w:t xml:space="preserve">&lt;-</w:t>
      </w:r>
      <w:r>
        <w:rPr>
          <w:rStyle w:val="NormalTok"/>
        </w:rPr>
        <w:t xml:space="preserve"> </w:t>
      </w:r>
      <w:r>
        <w:rPr>
          <w:rStyle w:val="FunctionTok"/>
        </w:rPr>
        <w:t xml:space="preserve">read_rep</w:t>
      </w:r>
      <w:r>
        <w:rPr>
          <w:rStyle w:val="NormalTok"/>
        </w:rPr>
        <w:t xml:space="preserve">(here</w:t>
      </w:r>
      <w:r>
        <w:rPr>
          <w:rStyle w:val="SpecialCharTok"/>
        </w:rPr>
        <w:t xml:space="preserve">::</w:t>
      </w:r>
      <w:r>
        <w:rPr>
          <w:rStyle w:val="FunctionTok"/>
        </w:rPr>
        <w:t xml:space="preserve">here</w:t>
      </w:r>
      <w:r>
        <w:rPr>
          <w:rStyle w:val="NormalTok"/>
        </w:rPr>
        <w:t xml:space="preserve">(</w:t>
      </w:r>
      <w:r>
        <w:rPr>
          <w:rStyle w:val="StringTok"/>
        </w:rPr>
        <w:t xml:space="preserve">"runs"</w:t>
      </w:r>
      <w:r>
        <w:rPr>
          <w:rStyle w:val="NormalTok"/>
        </w:rPr>
        <w:t xml:space="preserve">, </w:t>
      </w:r>
      <w:r>
        <w:rPr>
          <w:rStyle w:val="StringTok"/>
        </w:rPr>
        <w:t xml:space="preserve">"lastyr"</w:t>
      </w:r>
      <w:r>
        <w:rPr>
          <w:rStyle w:val="NormalTok"/>
        </w:rPr>
        <w:t xml:space="preserve">, </w:t>
      </w:r>
      <w:r>
        <w:rPr>
          <w:rStyle w:val="StringTok"/>
        </w:rPr>
        <w:t xml:space="preserve">"pm.rep"</w:t>
      </w:r>
      <w:r>
        <w:rPr>
          <w:rStyle w:val="NormalTok"/>
        </w:rPr>
        <w:t xml:space="preserve">)) </w:t>
      </w:r>
      <w:r>
        <w:rPr>
          <w:rStyle w:val="CommentTok"/>
        </w:rPr>
        <w:t xml:space="preserve"># Read in the report file)</w:t>
      </w:r>
      <w:r>
        <w:br/>
      </w:r>
      <w:r>
        <w:rPr>
          <w:rStyle w:val="NormalTok"/>
        </w:rPr>
        <w:t xml:space="preserve">pm_mod  </w:t>
      </w:r>
      <w:r>
        <w:rPr>
          <w:rStyle w:val="OtherTok"/>
        </w:rPr>
        <w:t xml:space="preserve">&lt;-</w:t>
      </w:r>
      <w:r>
        <w:rPr>
          <w:rStyle w:val="NormalTok"/>
        </w:rPr>
        <w:t xml:space="preserve"> </w:t>
      </w:r>
      <w:r>
        <w:rPr>
          <w:rStyle w:val="FunctionTok"/>
        </w:rPr>
        <w:t xml:space="preserve">read_rep</w:t>
      </w:r>
      <w:r>
        <w:rPr>
          <w:rStyle w:val="NormalTok"/>
        </w:rPr>
        <w:t xml:space="preserve">(here</w:t>
      </w:r>
      <w:r>
        <w:rPr>
          <w:rStyle w:val="SpecialCharTok"/>
        </w:rPr>
        <w:t xml:space="preserve">::</w:t>
      </w:r>
      <w:r>
        <w:rPr>
          <w:rStyle w:val="FunctionTok"/>
        </w:rPr>
        <w:t xml:space="preserve">here</w:t>
      </w:r>
      <w:r>
        <w:rPr>
          <w:rStyle w:val="NormalTok"/>
        </w:rPr>
        <w:t xml:space="preserve">(</w:t>
      </w:r>
      <w:r>
        <w:rPr>
          <w:rStyle w:val="StringTok"/>
        </w:rPr>
        <w:t xml:space="preserve">"runs"</w:t>
      </w:r>
      <w:r>
        <w:rPr>
          <w:rStyle w:val="NormalTok"/>
        </w:rPr>
        <w:t xml:space="preserve">, </w:t>
      </w:r>
      <w:r>
        <w:rPr>
          <w:rStyle w:val="StringTok"/>
        </w:rPr>
        <w:t xml:space="preserve">"rtmb"</w:t>
      </w:r>
      <w:r>
        <w:rPr>
          <w:rStyle w:val="NormalTok"/>
        </w:rPr>
        <w:t xml:space="preserve">, </w:t>
      </w:r>
      <w:r>
        <w:rPr>
          <w:rStyle w:val="StringTok"/>
        </w:rPr>
        <w:t xml:space="preserve">"pm.rep"</w:t>
      </w:r>
      <w:r>
        <w:rPr>
          <w:rStyle w:val="NormalTok"/>
        </w:rPr>
        <w:t xml:space="preserve">)) </w:t>
      </w:r>
      <w:r>
        <w:rPr>
          <w:rStyle w:val="CommentTok"/>
        </w:rPr>
        <w:t xml:space="preserve"># Read in the report file)</w:t>
      </w:r>
      <w:r>
        <w:br/>
      </w:r>
      <w:r>
        <w:rPr>
          <w:rStyle w:val="NormalTok"/>
        </w:rPr>
        <w:t xml:space="preserve">sd_orig </w:t>
      </w:r>
      <w:r>
        <w:rPr>
          <w:rStyle w:val="OtherTok"/>
        </w:rPr>
        <w:t xml:space="preserve">&lt;-</w:t>
      </w:r>
      <w:r>
        <w:rPr>
          <w:rStyle w:val="NormalTok"/>
        </w:rPr>
        <w:t xml:space="preserve"> </w:t>
      </w:r>
      <w:r>
        <w:rPr>
          <w:rStyle w:val="FunctionTok"/>
        </w:rPr>
        <w:t xml:space="preserve">read_table</w:t>
      </w:r>
      <w:r>
        <w:rPr>
          <w:rStyle w:val="NormalTok"/>
        </w:rPr>
        <w:t xml:space="preserve">(here</w:t>
      </w:r>
      <w:r>
        <w:rPr>
          <w:rStyle w:val="SpecialCharTok"/>
        </w:rPr>
        <w:t xml:space="preserve">::</w:t>
      </w:r>
      <w:r>
        <w:rPr>
          <w:rStyle w:val="FunctionTok"/>
        </w:rPr>
        <w:t xml:space="preserve">here</w:t>
      </w:r>
      <w:r>
        <w:rPr>
          <w:rStyle w:val="NormalTok"/>
        </w:rPr>
        <w:t xml:space="preserve">(</w:t>
      </w:r>
      <w:r>
        <w:rPr>
          <w:rStyle w:val="StringTok"/>
        </w:rPr>
        <w:t xml:space="preserve">"runs/lastyr"</w:t>
      </w:r>
      <w:r>
        <w:rPr>
          <w:rStyle w:val="NormalTok"/>
        </w:rPr>
        <w:t xml:space="preserve">, </w:t>
      </w:r>
      <w:r>
        <w:rPr>
          <w:rStyle w:val="StringTok"/>
        </w:rPr>
        <w:t xml:space="preserve">"pm.std"</w:t>
      </w:r>
      <w:r>
        <w:rPr>
          <w:rStyle w:val="NormalTok"/>
        </w:rPr>
        <w:t xml:space="preserve">)) </w:t>
      </w:r>
      <w:r>
        <w:rPr>
          <w:rStyle w:val="SpecialCharTok"/>
        </w:rPr>
        <w:t xml:space="preserve">|&gt;</w:t>
      </w:r>
      <w:r>
        <w:rPr>
          <w:rStyle w:val="NormalTok"/>
        </w:rPr>
        <w:t xml:space="preserve"> </w:t>
      </w:r>
      <w:r>
        <w:rPr>
          <w:rStyle w:val="FunctionTok"/>
        </w:rPr>
        <w:t xml:space="preserve">filter</w:t>
      </w:r>
      <w:r>
        <w:rPr>
          <w:rStyle w:val="NormalTok"/>
        </w:rPr>
        <w:t xml:space="preserve">(name</w:t>
      </w:r>
      <w:r>
        <w:rPr>
          <w:rStyle w:val="SpecialCharTok"/>
        </w:rPr>
        <w:t xml:space="preserve">==</w:t>
      </w:r>
      <w:r>
        <w:rPr>
          <w:rStyle w:val="StringTok"/>
        </w:rPr>
        <w:t xml:space="preserve">"pred_rec"</w:t>
      </w:r>
      <w:r>
        <w:rPr>
          <w:rStyle w:val="NormalTok"/>
        </w:rPr>
        <w:t xml:space="preserve"> )</w:t>
      </w:r>
      <w:r>
        <w:br/>
      </w:r>
      <w:r>
        <w:rPr>
          <w:rStyle w:val="NormalTok"/>
        </w:rPr>
        <w:t xml:space="preserve">sd_mod  </w:t>
      </w:r>
      <w:r>
        <w:rPr>
          <w:rStyle w:val="OtherTok"/>
        </w:rPr>
        <w:t xml:space="preserve">&lt;-</w:t>
      </w:r>
      <w:r>
        <w:rPr>
          <w:rStyle w:val="NormalTok"/>
        </w:rPr>
        <w:t xml:space="preserve"> </w:t>
      </w:r>
      <w:r>
        <w:rPr>
          <w:rStyle w:val="FunctionTok"/>
        </w:rPr>
        <w:t xml:space="preserve">read_table</w:t>
      </w:r>
      <w:r>
        <w:rPr>
          <w:rStyle w:val="NormalTok"/>
        </w:rPr>
        <w:t xml:space="preserve">(here</w:t>
      </w:r>
      <w:r>
        <w:rPr>
          <w:rStyle w:val="SpecialCharTok"/>
        </w:rPr>
        <w:t xml:space="preserve">::</w:t>
      </w:r>
      <w:r>
        <w:rPr>
          <w:rStyle w:val="FunctionTok"/>
        </w:rPr>
        <w:t xml:space="preserve">here</w:t>
      </w:r>
      <w:r>
        <w:rPr>
          <w:rStyle w:val="NormalTok"/>
        </w:rPr>
        <w:t xml:space="preserve">(</w:t>
      </w:r>
      <w:r>
        <w:rPr>
          <w:rStyle w:val="StringTok"/>
        </w:rPr>
        <w:t xml:space="preserve">"runs/rtmb"</w:t>
      </w:r>
      <w:r>
        <w:rPr>
          <w:rStyle w:val="NormalTok"/>
        </w:rPr>
        <w:t xml:space="preserve">, </w:t>
      </w:r>
      <w:r>
        <w:rPr>
          <w:rStyle w:val="StringTok"/>
        </w:rPr>
        <w:t xml:space="preserve">"pm.std"</w:t>
      </w:r>
      <w:r>
        <w:rPr>
          <w:rStyle w:val="NormalTok"/>
        </w:rPr>
        <w:t xml:space="preserve">))</w:t>
      </w:r>
      <w:r>
        <w:rPr>
          <w:rStyle w:val="SpecialCharTok"/>
        </w:rPr>
        <w:t xml:space="preserve">|&gt;</w:t>
      </w:r>
      <w:r>
        <w:rPr>
          <w:rStyle w:val="NormalTok"/>
        </w:rPr>
        <w:t xml:space="preserve"> </w:t>
      </w:r>
      <w:r>
        <w:rPr>
          <w:rStyle w:val="FunctionTok"/>
        </w:rPr>
        <w:t xml:space="preserve">filter</w:t>
      </w:r>
      <w:r>
        <w:rPr>
          <w:rStyle w:val="NormalTok"/>
        </w:rPr>
        <w:t xml:space="preserve">(name</w:t>
      </w:r>
      <w:r>
        <w:rPr>
          <w:rStyle w:val="SpecialCharTok"/>
        </w:rPr>
        <w:t xml:space="preserve">==</w:t>
      </w:r>
      <w:r>
        <w:rPr>
          <w:rStyle w:val="StringTok"/>
        </w:rPr>
        <w:t xml:space="preserve">"pred_rec"</w:t>
      </w:r>
      <w:r>
        <w:rPr>
          <w:rStyle w:val="NormalTok"/>
        </w:rPr>
        <w:t xml:space="preserve"> )</w:t>
      </w:r>
      <w:r>
        <w:br/>
      </w:r>
      <w:r>
        <w:rPr>
          <w:rStyle w:val="NormalTok"/>
        </w:rPr>
        <w:t xml:space="preserve">df </w:t>
      </w:r>
      <w:r>
        <w:rPr>
          <w:rStyle w:val="OtherTok"/>
        </w:rPr>
        <w:t xml:space="preserve">&lt;-</w:t>
      </w:r>
      <w:r>
        <w:rPr>
          <w:rStyle w:val="NormalTok"/>
        </w:rPr>
        <w:t xml:space="preserve"> </w:t>
      </w:r>
      <w:r>
        <w:rPr>
          <w:rStyle w:val="FunctionTok"/>
        </w:rPr>
        <w:t xml:space="preserve">rbind</w:t>
      </w:r>
      <w:r>
        <w:rPr>
          <w:rStyle w:val="NormalTok"/>
        </w:rPr>
        <w:t xml:space="preserve">( </w:t>
      </w:r>
      <w:r>
        <w:rPr>
          <w:rStyle w:val="FunctionTok"/>
        </w:rPr>
        <w:t xml:space="preserve">data.frame</w:t>
      </w:r>
      <w:r>
        <w:rPr>
          <w:rStyle w:val="NormalTok"/>
        </w:rPr>
        <w:t xml:space="preserve">( </w:t>
      </w:r>
      <w:r>
        <w:rPr>
          <w:rStyle w:val="AttributeTok"/>
        </w:rPr>
        <w:t xml:space="preserve">name  =</w:t>
      </w:r>
      <w:r>
        <w:rPr>
          <w:rStyle w:val="NormalTok"/>
        </w:rPr>
        <w:t xml:space="preserve"> </w:t>
      </w:r>
      <w:r>
        <w:rPr>
          <w:rStyle w:val="StringTok"/>
        </w:rPr>
        <w:t xml:space="preserve">"SSB"</w:t>
      </w:r>
      <w:r>
        <w:rPr>
          <w:rStyle w:val="NormalTok"/>
        </w:rPr>
        <w:t xml:space="preserve">,</w:t>
      </w:r>
      <w:r>
        <w:br/>
      </w:r>
      <w:r>
        <w:rPr>
          <w:rStyle w:val="NormalTok"/>
        </w:rPr>
        <w:t xml:space="preserve">  </w:t>
      </w:r>
      <w:r>
        <w:rPr>
          <w:rStyle w:val="AttributeTok"/>
        </w:rPr>
        <w:t xml:space="preserve">value =</w:t>
      </w:r>
      <w:r>
        <w:rPr>
          <w:rStyle w:val="NormalTok"/>
        </w:rPr>
        <w:t xml:space="preserve"> </w:t>
      </w:r>
      <w:r>
        <w:rPr>
          <w:rStyle w:val="FunctionTok"/>
        </w:rPr>
        <w:t xml:space="preserve">as.numeric</w:t>
      </w:r>
      <w:r>
        <w:rPr>
          <w:rStyle w:val="NormalTok"/>
        </w:rPr>
        <w:t xml:space="preserve">(pm_orig</w:t>
      </w:r>
      <w:r>
        <w:rPr>
          <w:rStyle w:val="SpecialCharTok"/>
        </w:rPr>
        <w:t xml:space="preserve">$</w:t>
      </w:r>
      <w:r>
        <w:rPr>
          <w:rStyle w:val="NormalTok"/>
        </w:rPr>
        <w:t xml:space="preserve">SSB[,</w:t>
      </w:r>
      <w:r>
        <w:rPr>
          <w:rStyle w:val="DecValTok"/>
        </w:rPr>
        <w:t xml:space="preserve">2</w:t>
      </w:r>
      <w:r>
        <w:rPr>
          <w:rStyle w:val="NormalTok"/>
        </w:rPr>
        <w:t xml:space="preserve">]),</w:t>
      </w:r>
      <w:r>
        <w:br/>
      </w:r>
      <w:r>
        <w:rPr>
          <w:rStyle w:val="NormalTok"/>
        </w:rPr>
        <w:t xml:space="preserve">  </w:t>
      </w:r>
      <w:r>
        <w:rPr>
          <w:rStyle w:val="AttributeTok"/>
        </w:rPr>
        <w:t xml:space="preserve">std.dev =</w:t>
      </w:r>
      <w:r>
        <w:rPr>
          <w:rStyle w:val="NormalTok"/>
        </w:rPr>
        <w:t xml:space="preserve"> </w:t>
      </w:r>
      <w:r>
        <w:rPr>
          <w:rStyle w:val="FunctionTok"/>
        </w:rPr>
        <w:t xml:space="preserve">as.numeric</w:t>
      </w:r>
      <w:r>
        <w:rPr>
          <w:rStyle w:val="NormalTok"/>
        </w:rPr>
        <w:t xml:space="preserve">(pm_orig</w:t>
      </w:r>
      <w:r>
        <w:rPr>
          <w:rStyle w:val="SpecialCharTok"/>
        </w:rPr>
        <w:t xml:space="preserve">$</w:t>
      </w:r>
      <w:r>
        <w:rPr>
          <w:rStyle w:val="NormalTok"/>
        </w:rPr>
        <w:t xml:space="preserve">SSB[,</w:t>
      </w:r>
      <w:r>
        <w:rPr>
          <w:rStyle w:val="DecValTok"/>
        </w:rPr>
        <w:t xml:space="preserve">3</w:t>
      </w:r>
      <w:r>
        <w:rPr>
          <w:rStyle w:val="NormalTok"/>
        </w:rPr>
        <w:t xml:space="preserve">]),</w:t>
      </w:r>
      <w:r>
        <w:br/>
      </w:r>
      <w:r>
        <w:rPr>
          <w:rStyle w:val="NormalTok"/>
        </w:rPr>
        <w:t xml:space="preserve">  </w:t>
      </w:r>
      <w:r>
        <w:rPr>
          <w:rStyle w:val="AttributeTok"/>
        </w:rPr>
        <w:t xml:space="preserve">model =</w:t>
      </w:r>
      <w:r>
        <w:rPr>
          <w:rStyle w:val="NormalTok"/>
        </w:rPr>
        <w:t xml:space="preserve"> </w:t>
      </w:r>
      <w:r>
        <w:rPr>
          <w:rStyle w:val="StringTok"/>
        </w:rPr>
        <w:t xml:space="preserve">"ADMB original"</w:t>
      </w:r>
      <w:r>
        <w:rPr>
          <w:rStyle w:val="NormalTok"/>
        </w:rPr>
        <w:t xml:space="preserve"> ) ,</w:t>
      </w:r>
      <w:r>
        <w:br/>
      </w:r>
      <w:r>
        <w:rPr>
          <w:rStyle w:val="NormalTok"/>
        </w:rPr>
        <w:t xml:space="preserve">  </w:t>
      </w:r>
      <w:r>
        <w:rPr>
          <w:rStyle w:val="FunctionTok"/>
        </w:rPr>
        <w:t xml:space="preserve">data.frame</w:t>
      </w:r>
      <w:r>
        <w:rPr>
          <w:rStyle w:val="NormalTok"/>
        </w:rPr>
        <w:t xml:space="preserve">( </w:t>
      </w:r>
      <w:r>
        <w:rPr>
          <w:rStyle w:val="AttributeTok"/>
        </w:rPr>
        <w:t xml:space="preserve">name  =</w:t>
      </w:r>
      <w:r>
        <w:rPr>
          <w:rStyle w:val="NormalTok"/>
        </w:rPr>
        <w:t xml:space="preserve"> </w:t>
      </w:r>
      <w:r>
        <w:rPr>
          <w:rStyle w:val="StringTok"/>
        </w:rPr>
        <w:t xml:space="preserve">"SSB"</w:t>
      </w:r>
      <w:r>
        <w:rPr>
          <w:rStyle w:val="NormalTok"/>
        </w:rPr>
        <w:t xml:space="preserve">,</w:t>
      </w:r>
      <w:r>
        <w:br/>
      </w:r>
      <w:r>
        <w:rPr>
          <w:rStyle w:val="NormalTok"/>
        </w:rPr>
        <w:t xml:space="preserve">  </w:t>
      </w:r>
      <w:r>
        <w:rPr>
          <w:rStyle w:val="AttributeTok"/>
        </w:rPr>
        <w:t xml:space="preserve">value =</w:t>
      </w:r>
      <w:r>
        <w:rPr>
          <w:rStyle w:val="NormalTok"/>
        </w:rPr>
        <w:t xml:space="preserve"> </w:t>
      </w:r>
      <w:r>
        <w:rPr>
          <w:rStyle w:val="FunctionTok"/>
        </w:rPr>
        <w:t xml:space="preserve">as.numeric</w:t>
      </w:r>
      <w:r>
        <w:rPr>
          <w:rStyle w:val="NormalTok"/>
        </w:rPr>
        <w:t xml:space="preserve">(pm_mod</w:t>
      </w:r>
      <w:r>
        <w:rPr>
          <w:rStyle w:val="SpecialCharTok"/>
        </w:rPr>
        <w:t xml:space="preserve">$</w:t>
      </w:r>
      <w:r>
        <w:rPr>
          <w:rStyle w:val="NormalTok"/>
        </w:rPr>
        <w:t xml:space="preserve">SSB[,</w:t>
      </w:r>
      <w:r>
        <w:rPr>
          <w:rStyle w:val="DecValTok"/>
        </w:rPr>
        <w:t xml:space="preserve">2</w:t>
      </w:r>
      <w:r>
        <w:rPr>
          <w:rStyle w:val="NormalTok"/>
        </w:rPr>
        <w:t xml:space="preserve">]),</w:t>
      </w:r>
      <w:r>
        <w:br/>
      </w:r>
      <w:r>
        <w:rPr>
          <w:rStyle w:val="NormalTok"/>
        </w:rPr>
        <w:t xml:space="preserve">  </w:t>
      </w:r>
      <w:r>
        <w:rPr>
          <w:rStyle w:val="AttributeTok"/>
        </w:rPr>
        <w:t xml:space="preserve">std.dev =</w:t>
      </w:r>
      <w:r>
        <w:rPr>
          <w:rStyle w:val="NormalTok"/>
        </w:rPr>
        <w:t xml:space="preserve"> </w:t>
      </w:r>
      <w:r>
        <w:rPr>
          <w:rStyle w:val="FunctionTok"/>
        </w:rPr>
        <w:t xml:space="preserve">as.numeric</w:t>
      </w:r>
      <w:r>
        <w:rPr>
          <w:rStyle w:val="NormalTok"/>
        </w:rPr>
        <w:t xml:space="preserve">(pm_mod</w:t>
      </w:r>
      <w:r>
        <w:rPr>
          <w:rStyle w:val="SpecialCharTok"/>
        </w:rPr>
        <w:t xml:space="preserve">$</w:t>
      </w:r>
      <w:r>
        <w:rPr>
          <w:rStyle w:val="NormalTok"/>
        </w:rPr>
        <w:t xml:space="preserve">SSB[,</w:t>
      </w:r>
      <w:r>
        <w:rPr>
          <w:rStyle w:val="DecValTok"/>
        </w:rPr>
        <w:t xml:space="preserve">3</w:t>
      </w:r>
      <w:r>
        <w:rPr>
          <w:rStyle w:val="NormalTok"/>
        </w:rPr>
        <w:t xml:space="preserve">]),</w:t>
      </w:r>
      <w:r>
        <w:br/>
      </w:r>
      <w:r>
        <w:rPr>
          <w:rStyle w:val="NormalTok"/>
        </w:rPr>
        <w:t xml:space="preserve">  </w:t>
      </w:r>
      <w:r>
        <w:rPr>
          <w:rStyle w:val="AttributeTok"/>
        </w:rPr>
        <w:t xml:space="preserve">model =</w:t>
      </w:r>
      <w:r>
        <w:rPr>
          <w:rStyle w:val="NormalTok"/>
        </w:rPr>
        <w:t xml:space="preserve"> </w:t>
      </w:r>
      <w:r>
        <w:rPr>
          <w:rStyle w:val="StringTok"/>
        </w:rPr>
        <w:t xml:space="preserve">"ADMB Modified"</w:t>
      </w:r>
      <w:r>
        <w:rPr>
          <w:rStyle w:val="NormalTok"/>
        </w:rPr>
        <w:t xml:space="preserve">) )</w:t>
      </w:r>
      <w:r>
        <w:br/>
      </w:r>
      <w:r>
        <w:rPr>
          <w:rStyle w:val="NormalTok"/>
        </w:rPr>
        <w:t xml:space="preserve">df </w:t>
      </w:r>
      <w:r>
        <w:rPr>
          <w:rStyle w:val="OtherTok"/>
        </w:rPr>
        <w:t xml:space="preserve">&lt;-</w:t>
      </w:r>
      <w:r>
        <w:rPr>
          <w:rStyle w:val="NormalTok"/>
        </w:rPr>
        <w:t xml:space="preserve"> </w:t>
      </w:r>
      <w:r>
        <w:rPr>
          <w:rStyle w:val="FunctionTok"/>
        </w:rPr>
        <w:t xml:space="preserve">rbind</w:t>
      </w:r>
      <w:r>
        <w:rPr>
          <w:rStyle w:val="NormalTok"/>
        </w:rPr>
        <w:t xml:space="preserve">(df, </w:t>
      </w:r>
      <w:r>
        <w:rPr>
          <w:rStyle w:val="FunctionTok"/>
        </w:rPr>
        <w:t xml:space="preserve">data.frame</w:t>
      </w:r>
      <w:r>
        <w:rPr>
          <w:rStyle w:val="NormalTok"/>
        </w:rPr>
        <w:t xml:space="preserve">( </w:t>
      </w:r>
      <w:r>
        <w:rPr>
          <w:rStyle w:val="AttributeTok"/>
        </w:rPr>
        <w:t xml:space="preserve">name  =</w:t>
      </w:r>
      <w:r>
        <w:rPr>
          <w:rStyle w:val="NormalTok"/>
        </w:rPr>
        <w:t xml:space="preserve"> </w:t>
      </w:r>
      <w:r>
        <w:rPr>
          <w:rStyle w:val="StringTok"/>
        </w:rPr>
        <w:t xml:space="preserve">"Recruits"</w:t>
      </w:r>
      <w:r>
        <w:rPr>
          <w:rStyle w:val="NormalTok"/>
        </w:rPr>
        <w:t xml:space="preserve">,</w:t>
      </w:r>
      <w:r>
        <w:br/>
      </w:r>
      <w:r>
        <w:rPr>
          <w:rStyle w:val="NormalTok"/>
        </w:rPr>
        <w:t xml:space="preserve">    </w:t>
      </w:r>
      <w:r>
        <w:rPr>
          <w:rStyle w:val="AttributeTok"/>
        </w:rPr>
        <w:t xml:space="preserve">value =</w:t>
      </w:r>
      <w:r>
        <w:rPr>
          <w:rStyle w:val="NormalTok"/>
        </w:rPr>
        <w:t xml:space="preserve"> </w:t>
      </w:r>
      <w:r>
        <w:rPr>
          <w:rStyle w:val="FunctionTok"/>
        </w:rPr>
        <w:t xml:space="preserve">as.numeric</w:t>
      </w:r>
      <w:r>
        <w:rPr>
          <w:rStyle w:val="NormalTok"/>
        </w:rPr>
        <w:t xml:space="preserve">(sd_orig</w:t>
      </w:r>
      <w:r>
        <w:rPr>
          <w:rStyle w:val="SpecialCharTok"/>
        </w:rPr>
        <w:t xml:space="preserve">$</w:t>
      </w:r>
      <w:r>
        <w:rPr>
          <w:rStyle w:val="NormalTok"/>
        </w:rPr>
        <w:t xml:space="preserve">value),</w:t>
      </w:r>
      <w:r>
        <w:br/>
      </w:r>
      <w:r>
        <w:rPr>
          <w:rStyle w:val="NormalTok"/>
        </w:rPr>
        <w:t xml:space="preserve">    </w:t>
      </w:r>
      <w:r>
        <w:rPr>
          <w:rStyle w:val="AttributeTok"/>
        </w:rPr>
        <w:t xml:space="preserve">std.dev =</w:t>
      </w:r>
      <w:r>
        <w:rPr>
          <w:rStyle w:val="NormalTok"/>
        </w:rPr>
        <w:t xml:space="preserve"> </w:t>
      </w:r>
      <w:r>
        <w:rPr>
          <w:rStyle w:val="FunctionTok"/>
        </w:rPr>
        <w:t xml:space="preserve">as.numeric</w:t>
      </w:r>
      <w:r>
        <w:rPr>
          <w:rStyle w:val="NormalTok"/>
        </w:rPr>
        <w:t xml:space="preserve">(sd_orig</w:t>
      </w:r>
      <w:r>
        <w:rPr>
          <w:rStyle w:val="SpecialCharTok"/>
        </w:rPr>
        <w:t xml:space="preserve">$</w:t>
      </w:r>
      <w:r>
        <w:rPr>
          <w:rStyle w:val="NormalTok"/>
        </w:rPr>
        <w:t xml:space="preserve">std.dev),</w:t>
      </w:r>
      <w:r>
        <w:br/>
      </w:r>
      <w:r>
        <w:rPr>
          <w:rStyle w:val="NormalTok"/>
        </w:rPr>
        <w:t xml:space="preserve">    </w:t>
      </w:r>
      <w:r>
        <w:rPr>
          <w:rStyle w:val="AttributeTok"/>
        </w:rPr>
        <w:t xml:space="preserve">model =</w:t>
      </w:r>
      <w:r>
        <w:rPr>
          <w:rStyle w:val="NormalTok"/>
        </w:rPr>
        <w:t xml:space="preserve"> </w:t>
      </w:r>
      <w:r>
        <w:rPr>
          <w:rStyle w:val="StringTok"/>
        </w:rPr>
        <w:t xml:space="preserve">"ADMB original"</w:t>
      </w:r>
      <w:r>
        <w:rPr>
          <w:rStyle w:val="NormalTok"/>
        </w:rPr>
        <w:t xml:space="preserve"> ) ,</w:t>
      </w:r>
      <w:r>
        <w:br/>
      </w:r>
      <w:r>
        <w:rPr>
          <w:rStyle w:val="NormalTok"/>
        </w:rPr>
        <w:t xml:space="preserve">  </w:t>
      </w:r>
      <w:r>
        <w:rPr>
          <w:rStyle w:val="FunctionTok"/>
        </w:rPr>
        <w:t xml:space="preserve">data.frame</w:t>
      </w:r>
      <w:r>
        <w:rPr>
          <w:rStyle w:val="NormalTok"/>
        </w:rPr>
        <w:t xml:space="preserve">( </w:t>
      </w:r>
      <w:r>
        <w:rPr>
          <w:rStyle w:val="AttributeTok"/>
        </w:rPr>
        <w:t xml:space="preserve">name  =</w:t>
      </w:r>
      <w:r>
        <w:rPr>
          <w:rStyle w:val="NormalTok"/>
        </w:rPr>
        <w:t xml:space="preserve"> </w:t>
      </w:r>
      <w:r>
        <w:rPr>
          <w:rStyle w:val="StringTok"/>
        </w:rPr>
        <w:t xml:space="preserve">"Recruits"</w:t>
      </w:r>
      <w:r>
        <w:rPr>
          <w:rStyle w:val="NormalTok"/>
        </w:rPr>
        <w:t xml:space="preserve">,</w:t>
      </w:r>
      <w:r>
        <w:br/>
      </w:r>
      <w:r>
        <w:rPr>
          <w:rStyle w:val="NormalTok"/>
        </w:rPr>
        <w:t xml:space="preserve">    </w:t>
      </w:r>
      <w:r>
        <w:rPr>
          <w:rStyle w:val="AttributeTok"/>
        </w:rPr>
        <w:t xml:space="preserve">value =</w:t>
      </w:r>
      <w:r>
        <w:rPr>
          <w:rStyle w:val="NormalTok"/>
        </w:rPr>
        <w:t xml:space="preserve"> </w:t>
      </w:r>
      <w:r>
        <w:rPr>
          <w:rStyle w:val="FunctionTok"/>
        </w:rPr>
        <w:t xml:space="preserve">as.numeric</w:t>
      </w:r>
      <w:r>
        <w:rPr>
          <w:rStyle w:val="NormalTok"/>
        </w:rPr>
        <w:t xml:space="preserve">(sd_mod</w:t>
      </w:r>
      <w:r>
        <w:rPr>
          <w:rStyle w:val="SpecialCharTok"/>
        </w:rPr>
        <w:t xml:space="preserve">$</w:t>
      </w:r>
      <w:r>
        <w:rPr>
          <w:rStyle w:val="NormalTok"/>
        </w:rPr>
        <w:t xml:space="preserve">value),</w:t>
      </w:r>
      <w:r>
        <w:br/>
      </w:r>
      <w:r>
        <w:rPr>
          <w:rStyle w:val="NormalTok"/>
        </w:rPr>
        <w:t xml:space="preserve">    </w:t>
      </w:r>
      <w:r>
        <w:rPr>
          <w:rStyle w:val="AttributeTok"/>
        </w:rPr>
        <w:t xml:space="preserve">std.dev =</w:t>
      </w:r>
      <w:r>
        <w:rPr>
          <w:rStyle w:val="NormalTok"/>
        </w:rPr>
        <w:t xml:space="preserve"> </w:t>
      </w:r>
      <w:r>
        <w:rPr>
          <w:rStyle w:val="FunctionTok"/>
        </w:rPr>
        <w:t xml:space="preserve">as.numeric</w:t>
      </w:r>
      <w:r>
        <w:rPr>
          <w:rStyle w:val="NormalTok"/>
        </w:rPr>
        <w:t xml:space="preserve">(sd_mod</w:t>
      </w:r>
      <w:r>
        <w:rPr>
          <w:rStyle w:val="SpecialCharTok"/>
        </w:rPr>
        <w:t xml:space="preserve">$</w:t>
      </w:r>
      <w:r>
        <w:rPr>
          <w:rStyle w:val="NormalTok"/>
        </w:rPr>
        <w:t xml:space="preserve">std.dev),</w:t>
      </w:r>
      <w:r>
        <w:br/>
      </w:r>
      <w:r>
        <w:rPr>
          <w:rStyle w:val="NormalTok"/>
        </w:rPr>
        <w:t xml:space="preserve">    </w:t>
      </w:r>
      <w:r>
        <w:rPr>
          <w:rStyle w:val="AttributeTok"/>
        </w:rPr>
        <w:t xml:space="preserve">model =</w:t>
      </w:r>
      <w:r>
        <w:rPr>
          <w:rStyle w:val="NormalTok"/>
        </w:rPr>
        <w:t xml:space="preserve"> </w:t>
      </w:r>
      <w:r>
        <w:rPr>
          <w:rStyle w:val="StringTok"/>
        </w:rPr>
        <w:t xml:space="preserve">"ADMB Modified"</w:t>
      </w:r>
      <w:r>
        <w:rPr>
          <w:rStyle w:val="NormalTok"/>
        </w:rPr>
        <w:t xml:space="preserve">) )</w:t>
      </w:r>
      <w:r>
        <w:br/>
      </w:r>
      <w:r>
        <w:rPr>
          <w:rStyle w:val="NormalTok"/>
        </w:rPr>
        <w:t xml:space="preserve">df</w:t>
      </w:r>
      <w:r>
        <w:rPr>
          <w:rStyle w:val="SpecialCharTok"/>
        </w:rPr>
        <w:t xml:space="preserve">$</w:t>
      </w:r>
      <w:r>
        <w:rPr>
          <w:rStyle w:val="NormalTok"/>
        </w:rPr>
        <w:t xml:space="preserve">Year </w:t>
      </w:r>
      <w:r>
        <w:rPr>
          <w:rStyle w:val="OtherTok"/>
        </w:rPr>
        <w:t xml:space="preserve">&lt;-</w:t>
      </w:r>
      <w:r>
        <w:rPr>
          <w:rStyle w:val="NormalTok"/>
        </w:rPr>
        <w:t xml:space="preserve"> </w:t>
      </w:r>
      <w:r>
        <w:rPr>
          <w:rStyle w:val="FunctionTok"/>
        </w:rPr>
        <w:t xml:space="preserve">rep</w:t>
      </w:r>
      <w:r>
        <w:rPr>
          <w:rStyle w:val="NormalTok"/>
        </w:rPr>
        <w:t xml:space="preserve">(</w:t>
      </w:r>
      <w:r>
        <w:rPr>
          <w:rStyle w:val="DecValTok"/>
        </w:rPr>
        <w:t xml:space="preserve">1964</w:t>
      </w:r>
      <w:r>
        <w:rPr>
          <w:rStyle w:val="SpecialCharTok"/>
        </w:rPr>
        <w:t xml:space="preserve">:</w:t>
      </w:r>
      <w:r>
        <w:rPr>
          <w:rStyle w:val="DecValTok"/>
        </w:rPr>
        <w:t xml:space="preserve">2024</w:t>
      </w:r>
      <w:r>
        <w:rPr>
          <w:rStyle w:val="NormalTok"/>
        </w:rPr>
        <w:t xml:space="preserve">, </w:t>
      </w:r>
      <w:r>
        <w:rPr>
          <w:rStyle w:val="DecValTok"/>
        </w:rPr>
        <w:t xml:space="preserve">4</w:t>
      </w:r>
      <w:r>
        <w:rPr>
          <w:rStyle w:val="NormalTok"/>
        </w:rPr>
        <w:t xml:space="preserve">)</w:t>
      </w:r>
      <w:r>
        <w:br/>
      </w:r>
      <w:r>
        <w:br/>
      </w:r>
      <w:r>
        <w:rPr>
          <w:rStyle w:val="NormalTok"/>
        </w:rPr>
        <w:t xml:space="preserve">p1 </w:t>
      </w:r>
      <w:r>
        <w:rPr>
          <w:rStyle w:val="OtherTok"/>
        </w:rPr>
        <w:t xml:space="preserve">&lt;-</w:t>
      </w:r>
      <w:r>
        <w:rPr>
          <w:rStyle w:val="NormalTok"/>
        </w:rPr>
        <w:t xml:space="preserve"> df </w:t>
      </w:r>
      <w:r>
        <w:rPr>
          <w:rStyle w:val="SpecialCharTok"/>
        </w:rPr>
        <w:t xml:space="preserve">|&gt;</w:t>
      </w:r>
      <w:r>
        <w:rPr>
          <w:rStyle w:val="NormalTok"/>
        </w:rPr>
        <w:t xml:space="preserve"> </w:t>
      </w:r>
      <w:r>
        <w:rPr>
          <w:rStyle w:val="FunctionTok"/>
        </w:rPr>
        <w:t xml:space="preserve">filter</w:t>
      </w:r>
      <w:r>
        <w:rPr>
          <w:rStyle w:val="NormalTok"/>
        </w:rPr>
        <w:t xml:space="preserve">(name</w:t>
      </w:r>
      <w:r>
        <w:rPr>
          <w:rStyle w:val="SpecialCharTok"/>
        </w:rPr>
        <w:t xml:space="preserve">==</w:t>
      </w:r>
      <w:r>
        <w:rPr>
          <w:rStyle w:val="StringTok"/>
        </w:rPr>
        <w:t xml:space="preserve">"SSB"</w:t>
      </w:r>
      <w:r>
        <w:rPr>
          <w:rStyle w:val="NormalTok"/>
        </w:rPr>
        <w:t xml:space="preserve">,Year</w:t>
      </w:r>
      <w:r>
        <w:rPr>
          <w:rStyle w:val="SpecialCharTok"/>
        </w:rPr>
        <w:t xml:space="preserve">&gt;</w:t>
      </w:r>
      <w:r>
        <w:rPr>
          <w:rStyle w:val="DecValTok"/>
        </w:rPr>
        <w:t xml:space="preserve">1977</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w:t>
      </w:r>
      <w:r>
        <w:rPr>
          <w:rStyle w:val="AttributeTok"/>
        </w:rPr>
        <w:t xml:space="preserve">x=</w:t>
      </w:r>
      <w:r>
        <w:rPr>
          <w:rStyle w:val="NormalTok"/>
        </w:rPr>
        <w:t xml:space="preserve">Year, </w:t>
      </w:r>
      <w:r>
        <w:rPr>
          <w:rStyle w:val="AttributeTok"/>
        </w:rPr>
        <w:t xml:space="preserve">y=</w:t>
      </w:r>
      <w:r>
        <w:rPr>
          <w:rStyle w:val="NormalTok"/>
        </w:rPr>
        <w:t xml:space="preserve">value, </w:t>
      </w:r>
      <w:r>
        <w:rPr>
          <w:rStyle w:val="AttributeTok"/>
        </w:rPr>
        <w:t xml:space="preserve">color=</w:t>
      </w:r>
      <w:r>
        <w:rPr>
          <w:rStyle w:val="NormalTok"/>
        </w:rPr>
        <w:t xml:space="preserve">model)) </w:t>
      </w:r>
      <w:r>
        <w:rPr>
          <w:rStyle w:val="SpecialCharTok"/>
        </w:rPr>
        <w:t xml:space="preserve">+</w:t>
      </w:r>
      <w:r>
        <w:rPr>
          <w:rStyle w:val="NormalTok"/>
        </w:rPr>
        <w:t xml:space="preserve"> </w:t>
      </w:r>
      <w:r>
        <w:rPr>
          <w:rStyle w:val="FunctionTok"/>
        </w:rPr>
        <w:t xml:space="preserve">geom_point</w:t>
      </w:r>
      <w:r>
        <w:rPr>
          <w:rStyle w:val="NormalTok"/>
        </w:rPr>
        <w:t xml:space="preserve">() </w:t>
      </w:r>
      <w:r>
        <w:rPr>
          <w:rStyle w:val="SpecialCharTok"/>
        </w:rPr>
        <w:t xml:space="preserve">+</w:t>
      </w:r>
      <w:r>
        <w:rPr>
          <w:rStyle w:val="NormalTok"/>
        </w:rPr>
        <w:t xml:space="preserve"> </w:t>
      </w:r>
      <w:r>
        <w:rPr>
          <w:rStyle w:val="FunctionTok"/>
        </w:rPr>
        <w:t xml:space="preserve">geom_line</w:t>
      </w:r>
      <w:r>
        <w:rPr>
          <w:rStyle w:val="NormalTok"/>
        </w:rPr>
        <w:t xml:space="preserve">(</w:t>
      </w:r>
      <w:r>
        <w:rPr>
          <w:rStyle w:val="FunctionTok"/>
        </w:rPr>
        <w:t xml:space="preserve">aes</w:t>
      </w:r>
      <w:r>
        <w:rPr>
          <w:rStyle w:val="NormalTok"/>
        </w:rPr>
        <w:t xml:space="preserve">(</w:t>
      </w:r>
      <w:r>
        <w:rPr>
          <w:rStyle w:val="AttributeTok"/>
        </w:rPr>
        <w:t xml:space="preserve">group=</w:t>
      </w:r>
      <w:r>
        <w:rPr>
          <w:rStyle w:val="NormalTok"/>
        </w:rPr>
        <w:t xml:space="preserve">model)) </w:t>
      </w:r>
      <w:r>
        <w:rPr>
          <w:rStyle w:val="SpecialCharTok"/>
        </w:rPr>
        <w:t xml:space="preserve">+</w:t>
      </w:r>
      <w:r>
        <w:br/>
      </w:r>
      <w:r>
        <w:rPr>
          <w:rStyle w:val="NormalTok"/>
        </w:rPr>
        <w:t xml:space="preserve">  </w:t>
      </w:r>
      <w:r>
        <w:rPr>
          <w:rStyle w:val="FunctionTok"/>
        </w:rPr>
        <w:t xml:space="preserve">geom_ribbon</w:t>
      </w:r>
      <w:r>
        <w:rPr>
          <w:rStyle w:val="NormalTok"/>
        </w:rPr>
        <w:t xml:space="preserve">(</w:t>
      </w:r>
      <w:r>
        <w:rPr>
          <w:rStyle w:val="FunctionTok"/>
        </w:rPr>
        <w:t xml:space="preserve">aes</w:t>
      </w:r>
      <w:r>
        <w:rPr>
          <w:rStyle w:val="NormalTok"/>
        </w:rPr>
        <w:t xml:space="preserve">(</w:t>
      </w:r>
      <w:r>
        <w:rPr>
          <w:rStyle w:val="AttributeTok"/>
        </w:rPr>
        <w:t xml:space="preserve">ymin=</w:t>
      </w:r>
      <w:r>
        <w:rPr>
          <w:rStyle w:val="NormalTok"/>
        </w:rPr>
        <w:t xml:space="preserve">value</w:t>
      </w:r>
      <w:r>
        <w:rPr>
          <w:rStyle w:val="DecValTok"/>
        </w:rPr>
        <w:t xml:space="preserve">-2</w:t>
      </w:r>
      <w:r>
        <w:rPr>
          <w:rStyle w:val="SpecialCharTok"/>
        </w:rPr>
        <w:t xml:space="preserve">*</w:t>
      </w:r>
      <w:r>
        <w:rPr>
          <w:rStyle w:val="NormalTok"/>
        </w:rPr>
        <w:t xml:space="preserve">std.dev, </w:t>
      </w:r>
      <w:r>
        <w:rPr>
          <w:rStyle w:val="AttributeTok"/>
        </w:rPr>
        <w:t xml:space="preserve">ymax=</w:t>
      </w:r>
      <w:r>
        <w:rPr>
          <w:rStyle w:val="NormalTok"/>
        </w:rPr>
        <w:t xml:space="preserve">value</w:t>
      </w:r>
      <w:r>
        <w:rPr>
          <w:rStyle w:val="SpecialCharTok"/>
        </w:rPr>
        <w:t xml:space="preserve">+</w:t>
      </w:r>
      <w:r>
        <w:rPr>
          <w:rStyle w:val="DecValTok"/>
        </w:rPr>
        <w:t xml:space="preserve">2</w:t>
      </w:r>
      <w:r>
        <w:rPr>
          <w:rStyle w:val="SpecialCharTok"/>
        </w:rPr>
        <w:t xml:space="preserve">*</w:t>
      </w:r>
      <w:r>
        <w:rPr>
          <w:rStyle w:val="NormalTok"/>
        </w:rPr>
        <w:t xml:space="preserve">std.dev, </w:t>
      </w:r>
      <w:r>
        <w:rPr>
          <w:rStyle w:val="AttributeTok"/>
        </w:rPr>
        <w:t xml:space="preserve">fill=</w:t>
      </w:r>
      <w:r>
        <w:rPr>
          <w:rStyle w:val="NormalTok"/>
        </w:rPr>
        <w:t xml:space="preserve">model), </w:t>
      </w:r>
      <w:r>
        <w:rPr>
          <w:rStyle w:val="AttributeTok"/>
        </w:rPr>
        <w:t xml:space="preserve">alpha=</w:t>
      </w:r>
      <w:r>
        <w:rPr>
          <w:rStyle w:val="FloatTok"/>
        </w:rPr>
        <w:t xml:space="preserve">0.2</w:t>
      </w:r>
      <w:r>
        <w:rPr>
          <w:rStyle w:val="NormalTok"/>
        </w:rPr>
        <w:t xml:space="preserve">, </w:t>
      </w:r>
      <w:r>
        <w:rPr>
          <w:rStyle w:val="AttributeTok"/>
        </w:rPr>
        <w:t xml:space="preserve">color=</w:t>
      </w:r>
      <w:r>
        <w:rPr>
          <w:rStyle w:val="ConstantTok"/>
        </w:rPr>
        <w:t xml:space="preserve">NA</w:t>
      </w:r>
      <w:r>
        <w:rPr>
          <w:rStyle w:val="NormalTok"/>
        </w:rPr>
        <w:t xml:space="preserve">) </w:t>
      </w:r>
      <w:r>
        <w:rPr>
          <w:rStyle w:val="SpecialCharTok"/>
        </w:rPr>
        <w:t xml:space="preserve">+</w:t>
      </w:r>
      <w:r>
        <w:br/>
      </w:r>
      <w:r>
        <w:rPr>
          <w:rStyle w:val="NormalTok"/>
        </w:rPr>
        <w:t xml:space="preserve">  ggthemes</w:t>
      </w:r>
      <w:r>
        <w:rPr>
          <w:rStyle w:val="SpecialCharTok"/>
        </w:rPr>
        <w:t xml:space="preserve">::</w:t>
      </w:r>
      <w:r>
        <w:rPr>
          <w:rStyle w:val="FunctionTok"/>
        </w:rPr>
        <w:t xml:space="preserve">theme_few</w:t>
      </w:r>
      <w:r>
        <w:rPr>
          <w:rStyle w:val="NormalTok"/>
        </w:rPr>
        <w:t xml:space="preserve">() </w:t>
      </w:r>
      <w:r>
        <w:rPr>
          <w:rStyle w:val="SpecialCharTok"/>
        </w:rPr>
        <w:t xml:space="preserve">+</w:t>
      </w:r>
      <w:r>
        <w:rPr>
          <w:rStyle w:val="NormalTok"/>
        </w:rPr>
        <w:t xml:space="preserve"> </w:t>
      </w:r>
      <w:r>
        <w:rPr>
          <w:rStyle w:val="FunctionTok"/>
        </w:rPr>
        <w:t xml:space="preserve">ylab</w:t>
      </w:r>
      <w:r>
        <w:rPr>
          <w:rStyle w:val="NormalTok"/>
        </w:rPr>
        <w:t xml:space="preserve">(</w:t>
      </w:r>
      <w:r>
        <w:rPr>
          <w:rStyle w:val="StringTok"/>
        </w:rPr>
        <w:t xml:space="preserve">"SSB (t)"</w:t>
      </w:r>
      <w:r>
        <w:rPr>
          <w:rStyle w:val="NormalTok"/>
        </w:rPr>
        <w:t xml:space="preserve">) </w:t>
      </w:r>
      <w:r>
        <w:rPr>
          <w:rStyle w:val="SpecialCharTok"/>
        </w:rPr>
        <w:t xml:space="preserve">+</w:t>
      </w:r>
      <w:r>
        <w:rPr>
          <w:rStyle w:val="NormalTok"/>
        </w:rPr>
        <w:t xml:space="preserve"> </w:t>
      </w:r>
      <w:r>
        <w:rPr>
          <w:rStyle w:val="FunctionTok"/>
        </w:rPr>
        <w:t xml:space="preserve">xlab</w:t>
      </w:r>
      <w:r>
        <w:rPr>
          <w:rStyle w:val="NormalTok"/>
        </w:rPr>
        <w:t xml:space="preserve">(</w:t>
      </w:r>
      <w:r>
        <w:rPr>
          <w:rStyle w:val="StringTok"/>
        </w:rPr>
        <w:t xml:space="preserve">"Year"</w:t>
      </w:r>
      <w:r>
        <w:rPr>
          <w:rStyle w:val="NormalTok"/>
        </w:rPr>
        <w:t xml:space="preserve">) </w:t>
      </w:r>
      <w:r>
        <w:rPr>
          <w:rStyle w:val="SpecialCharTok"/>
        </w:rPr>
        <w:t xml:space="preserve">+</w:t>
      </w:r>
      <w:r>
        <w:rPr>
          <w:rStyle w:val="NormalTok"/>
        </w:rPr>
        <w:t xml:space="preserve"> </w:t>
      </w:r>
      <w:r>
        <w:br/>
      </w:r>
      <w:r>
        <w:rPr>
          <w:rStyle w:val="NormalTok"/>
        </w:rPr>
        <w:t xml:space="preserve">  </w:t>
      </w:r>
      <w:r>
        <w:rPr>
          <w:rStyle w:val="FunctionTok"/>
        </w:rPr>
        <w:t xml:space="preserve">scale_y_continuous</w:t>
      </w:r>
      <w:r>
        <w:rPr>
          <w:rStyle w:val="NormalTok"/>
        </w:rPr>
        <w:t xml:space="preserve">(</w:t>
      </w:r>
      <w:r>
        <w:rPr>
          <w:rStyle w:val="AttributeTok"/>
        </w:rPr>
        <w:t xml:space="preserve">labels =</w:t>
      </w:r>
      <w:r>
        <w:rPr>
          <w:rStyle w:val="NormalTok"/>
        </w:rPr>
        <w:t xml:space="preserve"> scales</w:t>
      </w:r>
      <w:r>
        <w:rPr>
          <w:rStyle w:val="SpecialCharTok"/>
        </w:rPr>
        <w:t xml:space="preserve">::</w:t>
      </w:r>
      <w:r>
        <w:rPr>
          <w:rStyle w:val="NormalTok"/>
        </w:rPr>
        <w:t xml:space="preserve">comma, </w:t>
      </w:r>
      <w:r>
        <w:rPr>
          <w:rStyle w:val="AttributeTok"/>
        </w:rPr>
        <w:t xml:space="preserve">limits=</w:t>
      </w:r>
      <w:r>
        <w:rPr>
          <w:rStyle w:val="FunctionTok"/>
        </w:rPr>
        <w:t xml:space="preserve">c</w:t>
      </w:r>
      <w:r>
        <w:rPr>
          <w:rStyle w:val="NormalTok"/>
        </w:rPr>
        <w:t xml:space="preserve">(</w:t>
      </w:r>
      <w:r>
        <w:rPr>
          <w:rStyle w:val="DecValTok"/>
        </w:rPr>
        <w:t xml:space="preserve">0</w:t>
      </w:r>
      <w:r>
        <w:rPr>
          <w:rStyle w:val="NormalTok"/>
        </w:rPr>
        <w:t xml:space="preserve">,</w:t>
      </w:r>
      <w:r>
        <w:rPr>
          <w:rStyle w:val="ConstantTok"/>
        </w:rPr>
        <w:t xml:space="preserve">NA</w:t>
      </w:r>
      <w:r>
        <w:rPr>
          <w:rStyle w:val="NormalTok"/>
        </w:rPr>
        <w:t xml:space="preserve">)) </w:t>
      </w:r>
      <w:r>
        <w:rPr>
          <w:rStyle w:val="SpecialCharTok"/>
        </w:rPr>
        <w:t xml:space="preserve">+</w:t>
      </w:r>
      <w:r>
        <w:rPr>
          <w:rStyle w:val="NormalTok"/>
        </w:rPr>
        <w:t xml:space="preserve"> </w:t>
      </w:r>
      <w:r>
        <w:br/>
      </w:r>
      <w:r>
        <w:rPr>
          <w:rStyle w:val="NormalTok"/>
        </w:rPr>
        <w:t xml:space="preserve">  </w:t>
      </w:r>
      <w:r>
        <w:rPr>
          <w:rStyle w:val="FunctionTok"/>
        </w:rPr>
        <w:t xml:space="preserve">scale_x_continuous</w:t>
      </w:r>
      <w:r>
        <w:rPr>
          <w:rStyle w:val="NormalTok"/>
        </w:rPr>
        <w:t xml:space="preserve">(</w:t>
      </w:r>
      <w:r>
        <w:rPr>
          <w:rStyle w:val="AttributeTok"/>
        </w:rPr>
        <w:t xml:space="preserve">breaks=</w:t>
      </w:r>
      <w:r>
        <w:rPr>
          <w:rStyle w:val="FunctionTok"/>
        </w:rPr>
        <w:t xml:space="preserve">seq</w:t>
      </w:r>
      <w:r>
        <w:rPr>
          <w:rStyle w:val="NormalTok"/>
        </w:rPr>
        <w:t xml:space="preserve">(</w:t>
      </w:r>
      <w:r>
        <w:rPr>
          <w:rStyle w:val="DecValTok"/>
        </w:rPr>
        <w:t xml:space="preserve">1965</w:t>
      </w:r>
      <w:r>
        <w:rPr>
          <w:rStyle w:val="NormalTok"/>
        </w:rPr>
        <w:t xml:space="preserve">,</w:t>
      </w:r>
      <w:r>
        <w:rPr>
          <w:rStyle w:val="DecValTok"/>
        </w:rPr>
        <w:t xml:space="preserve">2025</w:t>
      </w:r>
      <w:r>
        <w:rPr>
          <w:rStyle w:val="NormalTok"/>
        </w:rPr>
        <w:t xml:space="preserve">,</w:t>
      </w:r>
      <w:r>
        <w:rPr>
          <w:rStyle w:val="DecValTok"/>
        </w:rPr>
        <w:t xml:space="preserve">5</w:t>
      </w:r>
      <w:r>
        <w:rPr>
          <w:rStyle w:val="NormalTok"/>
        </w:rPr>
        <w:t xml:space="preserve">)) </w:t>
      </w:r>
      <w:r>
        <w:br/>
      </w:r>
      <w:r>
        <w:br/>
      </w:r>
      <w:r>
        <w:rPr>
          <w:rStyle w:val="NormalTok"/>
        </w:rPr>
        <w:t xml:space="preserve">p2 </w:t>
      </w:r>
      <w:r>
        <w:rPr>
          <w:rStyle w:val="OtherTok"/>
        </w:rPr>
        <w:t xml:space="preserve">&lt;-</w:t>
      </w:r>
      <w:r>
        <w:rPr>
          <w:rStyle w:val="NormalTok"/>
        </w:rPr>
        <w:t xml:space="preserve"> df </w:t>
      </w:r>
      <w:r>
        <w:rPr>
          <w:rStyle w:val="SpecialCharTok"/>
        </w:rPr>
        <w:t xml:space="preserve">|&gt;</w:t>
      </w:r>
      <w:r>
        <w:rPr>
          <w:rStyle w:val="NormalTok"/>
        </w:rPr>
        <w:t xml:space="preserve"> </w:t>
      </w:r>
      <w:r>
        <w:rPr>
          <w:rStyle w:val="FunctionTok"/>
        </w:rPr>
        <w:t xml:space="preserve">filter</w:t>
      </w:r>
      <w:r>
        <w:rPr>
          <w:rStyle w:val="NormalTok"/>
        </w:rPr>
        <w:t xml:space="preserve">(name</w:t>
      </w:r>
      <w:r>
        <w:rPr>
          <w:rStyle w:val="SpecialCharTok"/>
        </w:rPr>
        <w:t xml:space="preserve">==</w:t>
      </w:r>
      <w:r>
        <w:rPr>
          <w:rStyle w:val="StringTok"/>
        </w:rPr>
        <w:t xml:space="preserve">"Recruits"</w:t>
      </w:r>
      <w:r>
        <w:rPr>
          <w:rStyle w:val="NormalTok"/>
        </w:rPr>
        <w:t xml:space="preserve">, Year</w:t>
      </w:r>
      <w:r>
        <w:rPr>
          <w:rStyle w:val="SpecialCharTok"/>
        </w:rPr>
        <w:t xml:space="preserve">&gt;</w:t>
      </w:r>
      <w:r>
        <w:rPr>
          <w:rStyle w:val="DecValTok"/>
        </w:rPr>
        <w:t xml:space="preserve">1977</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w:t>
      </w:r>
      <w:r>
        <w:rPr>
          <w:rStyle w:val="AttributeTok"/>
        </w:rPr>
        <w:t xml:space="preserve">x=</w:t>
      </w:r>
      <w:r>
        <w:rPr>
          <w:rStyle w:val="FunctionTok"/>
        </w:rPr>
        <w:t xml:space="preserve">as.factor</w:t>
      </w:r>
      <w:r>
        <w:rPr>
          <w:rStyle w:val="NormalTok"/>
        </w:rPr>
        <w:t xml:space="preserve">(Year), </w:t>
      </w:r>
      <w:r>
        <w:rPr>
          <w:rStyle w:val="AttributeTok"/>
        </w:rPr>
        <w:t xml:space="preserve">y=</w:t>
      </w:r>
      <w:r>
        <w:rPr>
          <w:rStyle w:val="NormalTok"/>
        </w:rPr>
        <w:t xml:space="preserve">value, </w:t>
      </w:r>
      <w:r>
        <w:rPr>
          <w:rStyle w:val="AttributeTok"/>
        </w:rPr>
        <w:t xml:space="preserve">color=</w:t>
      </w:r>
      <w:r>
        <w:rPr>
          <w:rStyle w:val="NormalTok"/>
        </w:rPr>
        <w:t xml:space="preserve">model)) </w:t>
      </w:r>
      <w:r>
        <w:rPr>
          <w:rStyle w:val="SpecialCharTok"/>
        </w:rPr>
        <w:t xml:space="preserve">+</w:t>
      </w:r>
      <w:r>
        <w:rPr>
          <w:rStyle w:val="NormalTok"/>
        </w:rPr>
        <w:t xml:space="preserve"> </w:t>
      </w:r>
      <w:r>
        <w:br/>
      </w:r>
      <w:r>
        <w:rPr>
          <w:rStyle w:val="NormalTok"/>
        </w:rPr>
        <w:t xml:space="preserve">  </w:t>
      </w:r>
      <w:r>
        <w:rPr>
          <w:rStyle w:val="FunctionTok"/>
        </w:rPr>
        <w:t xml:space="preserve">geom_point</w:t>
      </w:r>
      <w:r>
        <w:rPr>
          <w:rStyle w:val="NormalTok"/>
        </w:rPr>
        <w:t xml:space="preserve">(</w:t>
      </w:r>
      <w:r>
        <w:rPr>
          <w:rStyle w:val="AttributeTok"/>
        </w:rPr>
        <w:t xml:space="preserve">size=</w:t>
      </w:r>
      <w:r>
        <w:rPr>
          <w:rStyle w:val="DecValTok"/>
        </w:rPr>
        <w:t xml:space="preserve">2</w:t>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0.8</w:t>
      </w:r>
      <w:r>
        <w:rPr>
          <w:rStyle w:val="NormalTok"/>
        </w:rPr>
        <w:t xml:space="preserve">)) </w:t>
      </w:r>
      <w:r>
        <w:rPr>
          <w:rStyle w:val="SpecialCharTok"/>
        </w:rPr>
        <w:t xml:space="preserve">+</w:t>
      </w:r>
      <w:r>
        <w:rPr>
          <w:rStyle w:val="NormalTok"/>
        </w:rPr>
        <w:t xml:space="preserve"> </w:t>
      </w:r>
      <w:r>
        <w:br/>
      </w:r>
      <w:r>
        <w:rPr>
          <w:rStyle w:val="NormalTok"/>
        </w:rPr>
        <w:t xml:space="preserve">  </w:t>
      </w:r>
      <w:r>
        <w:rPr>
          <w:rStyle w:val="FunctionTok"/>
        </w:rPr>
        <w:t xml:space="preserve">geom_errorbar</w:t>
      </w:r>
      <w:r>
        <w:rPr>
          <w:rStyle w:val="NormalTok"/>
        </w:rPr>
        <w:t xml:space="preserve">(</w:t>
      </w:r>
      <w:r>
        <w:rPr>
          <w:rStyle w:val="FunctionTok"/>
        </w:rPr>
        <w:t xml:space="preserve">aes</w:t>
      </w:r>
      <w:r>
        <w:rPr>
          <w:rStyle w:val="NormalTok"/>
        </w:rPr>
        <w:t xml:space="preserve">(</w:t>
      </w:r>
      <w:r>
        <w:rPr>
          <w:rStyle w:val="AttributeTok"/>
        </w:rPr>
        <w:t xml:space="preserve">ymin=</w:t>
      </w:r>
      <w:r>
        <w:rPr>
          <w:rStyle w:val="NormalTok"/>
        </w:rPr>
        <w:t xml:space="preserve">value</w:t>
      </w:r>
      <w:r>
        <w:rPr>
          <w:rStyle w:val="DecValTok"/>
        </w:rPr>
        <w:t xml:space="preserve">-2</w:t>
      </w:r>
      <w:r>
        <w:rPr>
          <w:rStyle w:val="SpecialCharTok"/>
        </w:rPr>
        <w:t xml:space="preserve">*</w:t>
      </w:r>
      <w:r>
        <w:rPr>
          <w:rStyle w:val="NormalTok"/>
        </w:rPr>
        <w:t xml:space="preserve">std.dev, </w:t>
      </w:r>
      <w:r>
        <w:rPr>
          <w:rStyle w:val="AttributeTok"/>
        </w:rPr>
        <w:t xml:space="preserve">ymax=</w:t>
      </w:r>
      <w:r>
        <w:rPr>
          <w:rStyle w:val="NormalTok"/>
        </w:rPr>
        <w:t xml:space="preserve">value</w:t>
      </w:r>
      <w:r>
        <w:rPr>
          <w:rStyle w:val="SpecialCharTok"/>
        </w:rPr>
        <w:t xml:space="preserve">+</w:t>
      </w:r>
      <w:r>
        <w:rPr>
          <w:rStyle w:val="DecValTok"/>
        </w:rPr>
        <w:t xml:space="preserve">2</w:t>
      </w:r>
      <w:r>
        <w:rPr>
          <w:rStyle w:val="SpecialCharTok"/>
        </w:rPr>
        <w:t xml:space="preserve">*</w:t>
      </w:r>
      <w:r>
        <w:rPr>
          <w:rStyle w:val="NormalTok"/>
        </w:rPr>
        <w:t xml:space="preserve">std.dev), </w:t>
      </w:r>
      <w:r>
        <w:br/>
      </w:r>
      <w:r>
        <w:rPr>
          <w:rStyle w:val="NormalTok"/>
        </w:rPr>
        <w:t xml:space="preserve">                </w:t>
      </w:r>
      <w:r>
        <w:rPr>
          <w:rStyle w:val="AttributeTok"/>
        </w:rPr>
        <w:t xml:space="preserve">alpha=</w:t>
      </w:r>
      <w:r>
        <w:rPr>
          <w:rStyle w:val="FloatTok"/>
        </w:rPr>
        <w:t xml:space="preserve">0.8</w:t>
      </w:r>
      <w:r>
        <w:rPr>
          <w:rStyle w:val="NormalTok"/>
        </w:rPr>
        <w:t xml:space="preserve">, </w:t>
      </w:r>
      <w:r>
        <w:rPr>
          <w:rStyle w:val="AttributeTok"/>
        </w:rPr>
        <w:t xml:space="preserve">width=</w:t>
      </w:r>
      <w:r>
        <w:rPr>
          <w:rStyle w:val="FloatTok"/>
        </w:rPr>
        <w:t xml:space="preserve">0.8</w:t>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0.8</w:t>
      </w:r>
      <w:r>
        <w:rPr>
          <w:rStyle w:val="NormalTok"/>
        </w:rPr>
        <w:t xml:space="preserve">)) </w:t>
      </w:r>
      <w:r>
        <w:rPr>
          <w:rStyle w:val="SpecialCharTok"/>
        </w:rPr>
        <w:t xml:space="preserve">+</w:t>
      </w:r>
      <w:r>
        <w:br/>
      </w:r>
      <w:r>
        <w:rPr>
          <w:rStyle w:val="NormalTok"/>
        </w:rPr>
        <w:t xml:space="preserve">  ggthemes</w:t>
      </w:r>
      <w:r>
        <w:rPr>
          <w:rStyle w:val="SpecialCharTok"/>
        </w:rPr>
        <w:t xml:space="preserve">::</w:t>
      </w:r>
      <w:r>
        <w:rPr>
          <w:rStyle w:val="FunctionTok"/>
        </w:rPr>
        <w:t xml:space="preserve">theme_few</w:t>
      </w:r>
      <w:r>
        <w:rPr>
          <w:rStyle w:val="NormalTok"/>
        </w:rPr>
        <w:t xml:space="preserve">() </w:t>
      </w:r>
      <w:r>
        <w:rPr>
          <w:rStyle w:val="SpecialCharTok"/>
        </w:rPr>
        <w:t xml:space="preserve">+</w:t>
      </w:r>
      <w:r>
        <w:rPr>
          <w:rStyle w:val="NormalTok"/>
        </w:rPr>
        <w:t xml:space="preserve"> </w:t>
      </w:r>
      <w:r>
        <w:br/>
      </w:r>
      <w:r>
        <w:rPr>
          <w:rStyle w:val="NormalTok"/>
        </w:rPr>
        <w:t xml:space="preserve">  </w:t>
      </w:r>
      <w:r>
        <w:rPr>
          <w:rStyle w:val="FunctionTok"/>
        </w:rPr>
        <w:t xml:space="preserve">ylab</w:t>
      </w:r>
      <w:r>
        <w:rPr>
          <w:rStyle w:val="NormalTok"/>
        </w:rPr>
        <w:t xml:space="preserve">(</w:t>
      </w:r>
      <w:r>
        <w:rPr>
          <w:rStyle w:val="StringTok"/>
        </w:rPr>
        <w:t xml:space="preserve">"Age 1 Recruitment (thousands)"</w:t>
      </w:r>
      <w:r>
        <w:rPr>
          <w:rStyle w:val="NormalTok"/>
        </w:rPr>
        <w:t xml:space="preserve">) </w:t>
      </w:r>
      <w:r>
        <w:rPr>
          <w:rStyle w:val="SpecialCharTok"/>
        </w:rPr>
        <w:t xml:space="preserve">+</w:t>
      </w:r>
      <w:r>
        <w:rPr>
          <w:rStyle w:val="NormalTok"/>
        </w:rPr>
        <w:t xml:space="preserve"> </w:t>
      </w:r>
      <w:r>
        <w:br/>
      </w:r>
      <w:r>
        <w:rPr>
          <w:rStyle w:val="NormalTok"/>
        </w:rPr>
        <w:t xml:space="preserve">  </w:t>
      </w:r>
      <w:r>
        <w:rPr>
          <w:rStyle w:val="FunctionTok"/>
        </w:rPr>
        <w:t xml:space="preserve">xlab</w:t>
      </w:r>
      <w:r>
        <w:rPr>
          <w:rStyle w:val="NormalTok"/>
        </w:rPr>
        <w:t xml:space="preserve">(</w:t>
      </w:r>
      <w:r>
        <w:rPr>
          <w:rStyle w:val="StringTok"/>
        </w:rPr>
        <w:t xml:space="preserve">"Year"</w:t>
      </w:r>
      <w:r>
        <w:rPr>
          <w:rStyle w:val="NormalTok"/>
        </w:rPr>
        <w:t xml:space="preserve">) </w:t>
      </w:r>
      <w:r>
        <w:rPr>
          <w:rStyle w:val="SpecialCharTok"/>
        </w:rPr>
        <w:t xml:space="preserve">+</w:t>
      </w:r>
      <w:r>
        <w:rPr>
          <w:rStyle w:val="NormalTok"/>
        </w:rPr>
        <w:t xml:space="preserve"> </w:t>
      </w:r>
      <w:r>
        <w:br/>
      </w:r>
      <w:r>
        <w:rPr>
          <w:rStyle w:val="NormalTok"/>
        </w:rPr>
        <w:t xml:space="preserve">  </w:t>
      </w:r>
      <w:r>
        <w:rPr>
          <w:rStyle w:val="FunctionTok"/>
        </w:rPr>
        <w:t xml:space="preserve">scale_y_continuous</w:t>
      </w:r>
      <w:r>
        <w:rPr>
          <w:rStyle w:val="NormalTok"/>
        </w:rPr>
        <w:t xml:space="preserve">(</w:t>
      </w:r>
      <w:r>
        <w:rPr>
          <w:rStyle w:val="AttributeTok"/>
        </w:rPr>
        <w:t xml:space="preserve">labels =</w:t>
      </w:r>
      <w:r>
        <w:rPr>
          <w:rStyle w:val="NormalTok"/>
        </w:rPr>
        <w:t xml:space="preserve"> scales</w:t>
      </w:r>
      <w:r>
        <w:rPr>
          <w:rStyle w:val="SpecialCharTok"/>
        </w:rPr>
        <w:t xml:space="preserve">::</w:t>
      </w:r>
      <w:r>
        <w:rPr>
          <w:rStyle w:val="NormalTok"/>
        </w:rPr>
        <w:t xml:space="preserve">comma) </w:t>
      </w:r>
      <w:r>
        <w:rPr>
          <w:rStyle w:val="SpecialCharTok"/>
        </w:rPr>
        <w:t xml:space="preserve">+</w:t>
      </w:r>
      <w:r>
        <w:rPr>
          <w:rStyle w:val="NormalTok"/>
        </w:rPr>
        <w:t xml:space="preserve"> </w:t>
      </w:r>
      <w:r>
        <w:br/>
      </w:r>
      <w:r>
        <w:rPr>
          <w:rStyle w:val="NormalTok"/>
        </w:rPr>
        <w:t xml:space="preserve">  </w:t>
      </w:r>
      <w:r>
        <w:rPr>
          <w:rStyle w:val="FunctionTok"/>
        </w:rPr>
        <w:t xml:space="preserve">expand_limits</w:t>
      </w:r>
      <w:r>
        <w:rPr>
          <w:rStyle w:val="NormalTok"/>
        </w:rPr>
        <w:t xml:space="preserve">(</w:t>
      </w:r>
      <w:r>
        <w:rPr>
          <w:rStyle w:val="AttributeTok"/>
        </w:rPr>
        <w:t xml:space="preserve">y =</w:t>
      </w:r>
      <w:r>
        <w:rPr>
          <w:rStyle w:val="NormalTok"/>
        </w:rPr>
        <w:t xml:space="preserve"> </w:t>
      </w:r>
      <w:r>
        <w:rPr>
          <w:rStyle w:val="DecValTok"/>
        </w:rPr>
        <w:t xml:space="preserve">0</w:t>
      </w:r>
      <w:r>
        <w:rPr>
          <w:rStyle w:val="NormalTok"/>
        </w:rPr>
        <w:t xml:space="preserve">) </w:t>
      </w:r>
      <w:r>
        <w:rPr>
          <w:rStyle w:val="SpecialCharTok"/>
        </w:rPr>
        <w:t xml:space="preserve">+</w:t>
      </w:r>
      <w:r>
        <w:br/>
      </w:r>
      <w:r>
        <w:rPr>
          <w:rStyle w:val="NormalTok"/>
        </w:rPr>
        <w:t xml:space="preserve">  </w:t>
      </w:r>
      <w:r>
        <w:rPr>
          <w:rStyle w:val="FunctionTok"/>
        </w:rPr>
        <w:t xml:space="preserve">scale_x_discrete</w:t>
      </w:r>
      <w:r>
        <w:rPr>
          <w:rStyle w:val="NormalTok"/>
        </w:rPr>
        <w:t xml:space="preserve">(</w:t>
      </w:r>
      <w:r>
        <w:rPr>
          <w:rStyle w:val="AttributeTok"/>
        </w:rPr>
        <w:t xml:space="preserve">breaks=</w:t>
      </w:r>
      <w:r>
        <w:rPr>
          <w:rStyle w:val="FunctionTok"/>
        </w:rPr>
        <w:t xml:space="preserve">seq</w:t>
      </w:r>
      <w:r>
        <w:rPr>
          <w:rStyle w:val="NormalTok"/>
        </w:rPr>
        <w:t xml:space="preserve">(</w:t>
      </w:r>
      <w:r>
        <w:rPr>
          <w:rStyle w:val="DecValTok"/>
        </w:rPr>
        <w:t xml:space="preserve">1980</w:t>
      </w:r>
      <w:r>
        <w:rPr>
          <w:rStyle w:val="NormalTok"/>
        </w:rPr>
        <w:t xml:space="preserve">,</w:t>
      </w:r>
      <w:r>
        <w:rPr>
          <w:rStyle w:val="DecValTok"/>
        </w:rPr>
        <w:t xml:space="preserve">2025</w:t>
      </w:r>
      <w:r>
        <w:rPr>
          <w:rStyle w:val="NormalTok"/>
        </w:rPr>
        <w:t xml:space="preserve">,</w:t>
      </w:r>
      <w:r>
        <w:rPr>
          <w:rStyle w:val="DecValTok"/>
        </w:rPr>
        <w:t xml:space="preserve">5</w:t>
      </w:r>
      <w:r>
        <w:rPr>
          <w:rStyle w:val="NormalTok"/>
        </w:rPr>
        <w:t xml:space="preserve">))</w:t>
      </w:r>
      <w:r>
        <w:br/>
      </w:r>
      <w:r>
        <w:rPr>
          <w:rStyle w:val="NormalTok"/>
        </w:rPr>
        <w:t xml:space="preserve">p1</w:t>
      </w:r>
      <w:r>
        <w:rPr>
          <w:rStyle w:val="SpecialCharTok"/>
        </w:rPr>
        <w:t xml:space="preserve">/</w:t>
      </w:r>
      <w:r>
        <w:rPr>
          <w:rStyle w:val="NormalTok"/>
        </w:rPr>
        <w:t xml:space="preserve">p2</w:t>
      </w:r>
    </w:p>
    <w:tbl>
      <w:tblPr>
        <w:tblStyle w:val="Table"/>
        <w:tblW w:type="pct" w:w="5000"/>
        <w:tblLayout w:type="fixed"/>
        <w:tblLook w:firstRow="0" w:lastRow="0" w:firstColumn="0" w:lastColumn="0" w:noHBand="0" w:noVBand="0" w:val="0000"/>
      </w:tblPr>
      <w:tblGrid>
        <w:gridCol w:w="7920"/>
      </w:tblGrid>
      <w:tr>
        <w:tc>
          <w:tcPr/>
          <w:bookmarkStart w:id="30" w:name="fig-admbdiffs"/>
          <w:p>
            <w:pPr>
              <w:pStyle w:val="Compact"/>
              <w:jc w:val="center"/>
            </w:pPr>
            <w:r>
              <w:drawing>
                <wp:inline>
                  <wp:extent cx="5334000" cy="5334000"/>
                  <wp:effectExtent b="0" l="0" r="0" t="0"/>
                  <wp:docPr descr="" title="" id="28" name="Picture"/>
                  <a:graphic>
                    <a:graphicData uri="http://schemas.openxmlformats.org/drawingml/2006/picture">
                      <pic:pic>
                        <pic:nvPicPr>
                          <pic:cNvPr descr="Sept_2025_files/figure-docx/fig-admbdiffs-1.png" id="29" name="Picture"/>
                          <pic:cNvPicPr>
                            <a:picLocks noChangeArrowheads="1" noChangeAspect="1"/>
                          </pic:cNvPicPr>
                        </pic:nvPicPr>
                        <pic:blipFill>
                          <a:blip r:embed="rId27"/>
                          <a:stretch>
                            <a:fillRect/>
                          </a:stretch>
                        </pic:blipFill>
                        <pic:spPr bwMode="auto">
                          <a:xfrm>
                            <a:off x="0" y="0"/>
                            <a:ext cx="5334000" cy="5334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Differences in SSB and recruits between the base ADMB used in 2024 and the modifications for bridging with RTMB. Note that these are slight modifications of the ADMB configurations.</w:t>
            </w:r>
          </w:p>
          <w:bookmarkEnd w:id="30"/>
        </w:tc>
      </w:tr>
    </w:tbl>
    <w:bookmarkStart w:id="42" w:name="rtmb-model-implementation"/>
    <w:p>
      <w:pPr>
        <w:pStyle w:val="Heading2"/>
      </w:pPr>
      <w:r>
        <w:t xml:space="preserve">RTMB Model implementation</w:t>
      </w:r>
    </w:p>
    <w:p>
      <w:pPr>
        <w:pStyle w:val="FirstParagraph"/>
      </w:pPr>
      <w:r>
        <w:t xml:space="preserve">For technical details on how one can re-code the pollock model into RTMB,</w:t>
      </w:r>
      <w:r>
        <w:t xml:space="preserve"> </w:t>
      </w:r>
      <w:r>
        <w:t xml:space="preserve">the</w:t>
      </w:r>
      <w:r>
        <w:t xml:space="preserve"> </w:t>
      </w:r>
      <w:hyperlink r:id="rId31">
        <w:r>
          <w:rPr>
            <w:rStyle w:val="Hyperlink"/>
          </w:rPr>
          <w:t xml:space="preserve">repository</w:t>
        </w:r>
      </w:hyperlink>
      <w:r>
        <w:t xml:space="preserve"> </w:t>
      </w:r>
      <w:r>
        <w:t xml:space="preserve">has R scripts that</w:t>
      </w:r>
      <w:r>
        <w:t xml:space="preserve"> </w:t>
      </w:r>
      <w:r>
        <w:t xml:space="preserve">illustrate the approach used. In the</w:t>
      </w:r>
      <w:r>
        <w:t xml:space="preserve"> </w:t>
      </w:r>
      <w:r>
        <w:rPr>
          <w:rStyle w:val="VerbatimChar"/>
        </w:rPr>
        <w:t xml:space="preserve">R/</w:t>
      </w:r>
      <w:r>
        <w:t xml:space="preserve"> </w:t>
      </w:r>
      <w:r>
        <w:t xml:space="preserve">directory the main model code is in the file</w:t>
      </w:r>
      <w:r>
        <w:t xml:space="preserve"> </w:t>
      </w:r>
      <w:r>
        <w:rPr>
          <w:rStyle w:val="VerbatimChar"/>
        </w:rPr>
        <w:t xml:space="preserve">R/Rpm.R</w:t>
      </w:r>
      <w:r>
        <w:t xml:space="preserve">.</w:t>
      </w:r>
      <w:r>
        <w:t xml:space="preserve"> </w:t>
      </w:r>
      <w:r>
        <w:t xml:space="preserve">The initial steps to bridge ADMB to RTMB involve identifying key components and</w:t>
      </w:r>
      <w:r>
        <w:t xml:space="preserve"> </w:t>
      </w:r>
      <w:r>
        <w:t xml:space="preserve">their behaviors. We created a table function that was helpful to evaluate which components</w:t>
      </w:r>
      <w:r>
        <w:t xml:space="preserve"> </w:t>
      </w:r>
      <w:r>
        <w:t xml:space="preserve">of the model in RTMB tracked with the ADMB version. When the bridging aspect was achieved</w:t>
      </w:r>
      <w:r>
        <w:t xml:space="preserve"> </w:t>
      </w:r>
      <w:r>
        <w:t xml:space="preserve">there were extremely small differences between the two model versions (</w:t>
      </w:r>
      <w:hyperlink w:anchor="tbl-comparison">
        <w:r>
          <w:rPr>
            <w:rStyle w:val="Hyperlink"/>
          </w:rPr>
          <w:t xml:space="preserve">Table 2</w:t>
        </w:r>
      </w:hyperlink>
      <w:r>
        <w:t xml:space="preserve">).</w:t>
      </w:r>
      <w:r>
        <w:t xml:space="preserve"> </w:t>
      </w:r>
      <w:r>
        <w:t xml:space="preserve">Additionally, after some initial testing we were able to take the parameter estimates from</w:t>
      </w:r>
      <w:r>
        <w:t xml:space="preserve"> </w:t>
      </w:r>
      <w:r>
        <w:t xml:space="preserve">the ADMB model and show that the gradients were very close to zero and the negative</w:t>
      </w:r>
      <w:r>
        <w:t xml:space="preserve"> </w:t>
      </w:r>
      <w:r>
        <w:t xml:space="preserve">log-likelihood values matched (</w:t>
      </w:r>
      <w:hyperlink w:anchor="tbl-gradient">
        <w:r>
          <w:rPr>
            <w:rStyle w:val="Hyperlink"/>
          </w:rPr>
          <w:t xml:space="preserve">Table 3</w:t>
        </w:r>
      </w:hyperlink>
      <w:r>
        <w:t xml:space="preserve">).</w:t>
      </w:r>
      <w:r>
        <w:t xml:space="preserve"> </w:t>
      </w:r>
      <w:r>
        <w:t xml:space="preserve">The RTMB code was able to replicate the results from feeding the MLE parameter</w:t>
      </w:r>
      <w:r>
        <w:t xml:space="preserve"> </w:t>
      </w:r>
      <w:r>
        <w:t xml:space="preserve">estimates from ADMB into the RTMB code (</w:t>
      </w:r>
      <w:hyperlink w:anchor="fig-SSB_recruits">
        <w:r>
          <w:rPr>
            <w:rStyle w:val="Hyperlink"/>
          </w:rPr>
          <w:t xml:space="preserve">Figure 2</w:t>
        </w:r>
      </w:hyperlink>
      <w:r>
        <w:t xml:space="preserve">). This gave virtually</w:t>
      </w:r>
      <w:r>
        <w:t xml:space="preserve"> </w:t>
      </w:r>
      <w:r>
        <w:t xml:space="preserve">the same estimates of spawning stock biomass (SSB) and age 1 recruits (</w:t>
      </w:r>
      <w:hyperlink w:anchor="fig-diffs">
        <w:r>
          <w:rPr>
            <w:rStyle w:val="Hyperlink"/>
          </w:rPr>
          <w:t xml:space="preserve">Figure 3</w:t>
        </w:r>
      </w:hyperlink>
      <w:r>
        <w:t xml:space="preserve">).</w:t>
      </w:r>
    </w:p>
    <w:p>
      <w:pPr>
        <w:pStyle w:val="BodyText"/>
      </w:pPr>
      <w:r>
        <w:t xml:space="preserve">Details of the RTMB implementation include initialization and parameter mapping</w:t>
      </w:r>
      <w:r>
        <w:t xml:space="preserve"> </w:t>
      </w:r>
      <w:r>
        <w:t xml:space="preserve">contained in the</w:t>
      </w:r>
      <w:r>
        <w:t xml:space="preserve"> </w:t>
      </w:r>
      <w:r>
        <w:rPr>
          <w:rStyle w:val="VerbatimChar"/>
        </w:rPr>
        <w:t xml:space="preserve">R/config.R</w:t>
      </w:r>
      <w:r>
        <w:t xml:space="preserve"> </w:t>
      </w:r>
      <w:r>
        <w:t xml:space="preserve">file. This file sources the required functions and</w:t>
      </w:r>
      <w:r>
        <w:t xml:space="preserve"> </w:t>
      </w:r>
      <w:r>
        <w:t xml:space="preserve">libraries (including the model files</w:t>
      </w:r>
      <w:r>
        <w:t xml:space="preserve"> </w:t>
      </w:r>
      <w:r>
        <w:rPr>
          <w:rStyle w:val="VerbatimChar"/>
        </w:rPr>
        <w:t xml:space="preserve">R/Rpm.R</w:t>
      </w:r>
      <w:r>
        <w:t xml:space="preserve">,</w:t>
      </w:r>
      <w:r>
        <w:t xml:space="preserve"> </w:t>
      </w:r>
      <w:r>
        <w:rPr>
          <w:rStyle w:val="VerbatimChar"/>
        </w:rPr>
        <w:t xml:space="preserve">/R/utilities.R</w:t>
      </w:r>
      <w:r>
        <w:t xml:space="preserve"> </w:t>
      </w:r>
      <w:r>
        <w:t xml:space="preserve">and</w:t>
      </w:r>
      <w:r>
        <w:t xml:space="preserve"> </w:t>
      </w:r>
      <w:r>
        <w:rPr>
          <w:rStyle w:val="VerbatimChar"/>
        </w:rPr>
        <w:t xml:space="preserve">R/model_funs.R</w:t>
      </w:r>
      <w:r>
        <w:t xml:space="preserve">.</w:t>
      </w:r>
      <w:r>
        <w:t xml:space="preserve"> </w:t>
      </w:r>
      <w:r>
        <w:t xml:space="preserve">To facilitate the bridging, we retained all of the same parameters that were specified</w:t>
      </w:r>
      <w:r>
        <w:t xml:space="preserve"> </w:t>
      </w:r>
      <w:r>
        <w:t xml:space="preserve">in the ADMB code (many of which are turned off as options for the model configuration).</w:t>
      </w:r>
      <w:r>
        <w:t xml:space="preserve"> </w:t>
      </w:r>
      <w:r>
        <w:t xml:space="preserve">In order to mimic the</w:t>
      </w:r>
      <w:r>
        <w:t xml:space="preserve"> </w:t>
      </w:r>
      <w:r>
        <w:t xml:space="preserve">“turning off”</w:t>
      </w:r>
      <w:r>
        <w:t xml:space="preserve"> </w:t>
      </w:r>
      <w:r>
        <w:t xml:space="preserve">procedure done in ADMB, in RTMB they are simply</w:t>
      </w:r>
      <w:r>
        <w:t xml:space="preserve"> </w:t>
      </w:r>
      <w:r>
        <w:t xml:space="preserve">“mapped”</w:t>
      </w:r>
      <w:r>
        <w:t xml:space="preserve"> </w:t>
      </w:r>
      <w:r>
        <w:t xml:space="preserve">to be estimated or not. That is, for example if a model has 100 parameters specified in the code</w:t>
      </w:r>
      <w:r>
        <w:t xml:space="preserve"> </w:t>
      </w:r>
      <w:r>
        <w:t xml:space="preserve">but only 80 are relevant given a model configuration, then in R the 20 parameters that</w:t>
      </w:r>
      <w:r>
        <w:t xml:space="preserve"> </w:t>
      </w:r>
      <w:r>
        <w:t xml:space="preserve">are ommitted from estimation are given a value of</w:t>
      </w:r>
      <w:r>
        <w:t xml:space="preserve"> </w:t>
      </w:r>
      <w:r>
        <w:rPr>
          <w:rStyle w:val="VerbatimChar"/>
        </w:rPr>
        <w:t xml:space="preserve">NA</w:t>
      </w:r>
      <w:r>
        <w:t xml:space="preserve">. created a function</w:t>
      </w:r>
      <w:r>
        <w:t xml:space="preserve"> </w:t>
      </w:r>
      <w:r>
        <w:rPr>
          <w:rStyle w:val="VerbatimChar"/>
        </w:rPr>
        <w:t xml:space="preserve">rpm()</w:t>
      </w:r>
      <w:r>
        <w:t xml:space="preserve"> </w:t>
      </w:r>
      <w:r>
        <w:t xml:space="preserve">that takes a vector of</w:t>
      </w:r>
      <w:r>
        <w:t xml:space="preserve"> </w:t>
      </w:r>
      <w:r>
        <w:t xml:space="preserve">Initial estimation exercises (with</w:t>
      </w:r>
      <w:r>
        <w:t xml:space="preserve"> </w:t>
      </w:r>
      <w:r>
        <w:t xml:space="preserve">“jittered”</w:t>
      </w:r>
      <w:r>
        <w:t xml:space="preserve"> </w:t>
      </w:r>
      <w:r>
        <w:t xml:space="preserve">initial parameter values) suggested that the RTMB code required several</w:t>
      </w:r>
      <w:r>
        <w:t xml:space="preserve"> </w:t>
      </w:r>
      <w:r>
        <w:t xml:space="preserve">re-starts to converge to the same solution as ADMB. We think this could be resolved</w:t>
      </w:r>
      <w:r>
        <w:t xml:space="preserve"> </w:t>
      </w:r>
      <w:r>
        <w:t xml:space="preserve">by better phasing in of active parameters via the mapping procedure (similar to</w:t>
      </w:r>
      <w:r>
        <w:t xml:space="preserve"> </w:t>
      </w:r>
      <w:r>
        <w:t xml:space="preserve">what is used in the ADMB code).</w:t>
      </w:r>
    </w:p>
    <w:tbl>
      <w:tblPr>
        <w:tblStyle w:val="Table"/>
        <w:tblW w:type="pct" w:w="5000"/>
        <w:tblLayout w:type="fixed"/>
        <w:tblLook w:firstRow="0" w:lastRow="0" w:firstColumn="0" w:lastColumn="0" w:noHBand="0" w:noVBand="0" w:val="0000"/>
      </w:tblPr>
      <w:tblGrid>
        <w:gridCol w:w="7920"/>
      </w:tblGrid>
      <w:tr>
        <w:tc>
          <w:tcPr/>
          <w:bookmarkStart w:id="32" w:name="tbl-comparison"/>
          <w:p>
            <w:pPr>
              <w:jc w:val="center"/>
            </w:pPr>
            <w:pPr>
              <w:jc w:val="start"/>
              <w:spacing w:before="200"/>
              <w:pStyle w:val="ImageCaption"/>
            </w:pPr>
            <w:r>
              <w:t xml:space="preserve">Table 2: Comparison of the rtmb code (</w:t>
            </w:r>
            <w:r>
              <w:rPr>
                <w:rStyle w:val="VerbatimChar"/>
              </w:rPr>
              <w:t xml:space="preserve">RPM</w:t>
            </w:r>
            <w:r>
              <w:t xml:space="preserve">) and the ADMB code results.</w:t>
            </w:r>
          </w:p>
          <w:p>
            <w:pPr>
              <w:spacing w:before="0" w:after="60"/>
              <w:keepNext/>
              <w:jc w:val="start"/>
              <w:pStyle w:val="caption"/>
            </w:pPr>
            <w:r>
              <w:rPr>
                <w:rFonts w:ascii="Calibri" w:hAnsi="Calibri"/>
                <w:sz w:val="small"/>
              </w:rPr>
              <w:t xml:space="preserve">Table </w:t>
            </w:r>
            <w:r>
              <w:fldChar w:fldCharType="begin" w:dirty="true"/>
            </w:r>
            <w:r>
              <w:instrText xml:space="preserve" w:dirty="true"> SEQ Table \* ARABIC </w:instrText>
            </w:r>
            <w:r>
              <w:fldChar w:fldCharType="separate" w:dirty="true"/>
            </w:r>
            <w:r>
              <w:rPr>
                <w:noProof/>
                <w:rFonts w:ascii="Calibri" w:hAnsi="Calibri"/>
                <w:sz w:val="small"/>
              </w:rPr>
              <w:t xml:space="default">1</w:t>
            </w:r>
            <w:r>
              <w:fldChar w:fldCharType="end" w:dirty="true"/>
            </w:r>
            <w:r>
              <w:rPr>
                <w:rFonts w:ascii="Calibri" w:hAnsi="Calibri"/>
                <w:sz w:val="small"/>
              </w:rPr>
              <w:t xml:space="preserve">: </w:t>
            </w:r>
            <w:r>
              <w:rPr>
                <w:rFonts w:ascii="Calibri" w:hAnsi="Calibri"/>
                <w:sz w:val="small"/>
                <w:color w:val="333333"/>
              </w:rPr>
              <w:t xml:space="default">Comparison of RTMB and ADMB Outputs</w:t>
            </w:r>
          </w:p>
          <w:p>
            <w:pPr>
              <w:spacing w:before="0" w:after="60"/>
              <w:keepNext/>
              <w:jc w:val="start"/>
              <w:pStyle w:val="caption"/>
            </w:pPr>
            <w:r>
              <w:rPr>
                <w:rFonts w:ascii="Calibri" w:hAnsi="Calibri"/>
                <w:sz w:val="small"/>
                <w:color w:val="333333"/>
              </w:rPr>
              <w:t xml:space="default">Tolerance = 1e-05</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start"/>
                  </w:pPr>
                  <w:r>
                    <w:rPr>
                      <w:rFonts w:ascii="Calibri" w:hAnsi="Calibri"/>
                      <w:sz w:val="small"/>
                    </w:rPr>
                    <w:t xml:space="default">Variable</w:t>
                  </w:r>
                </w:p>
              </w:tc>
              <w:tc>
                <w:tcPr>
                  <w:tcBorders>
                    <w:top w:val="single" w:sz="16" w:space="0" w:color="D3D3D3"/>
                    <w:bottom w:val="single" w:sz="16" w:space="0" w:color="D3D3D3"/>
                  </w:tcBorders>
                </w:tcPr>
                <w:p>
                  <w:pPr>
                    <w:spacing w:before="0" w:after="60"/>
                    <w:keepNext/>
                    <w:jc w:val="center"/>
                  </w:pPr>
                  <w:r>
                    <w:rPr>
                      <w:rFonts w:ascii="Calibri" w:hAnsi="Calibri"/>
                      <w:sz w:val="small"/>
                    </w:rPr>
                    <w:t xml:space="default">Equal (≤ tol)</w:t>
                  </w:r>
                </w:p>
              </w:tc>
              <w:tc>
                <w:tcPr>
                  <w:tcBorders>
                    <w:top w:val="single" w:sz="16" w:space="0" w:color="D3D3D3"/>
                    <w:bottom w:val="single" w:sz="16" w:space="0" w:color="D3D3D3"/>
                  </w:tcBorders>
                </w:tcPr>
                <w:p>
                  <w:pPr>
                    <w:spacing w:before="0" w:after="60"/>
                    <w:keepNext/>
                    <w:jc w:val="end"/>
                  </w:pPr>
                  <w:r>
                    <w:rPr>
                      <w:rFonts w:ascii="Calibri" w:hAnsi="Calibri"/>
                      <w:sz w:val="small"/>
                    </w:rPr>
                    <w:t xml:space="default">Length</w:t>
                  </w:r>
                </w:p>
              </w:tc>
              <w:tc>
                <w:tcPr>
                  <w:tcBorders>
                    <w:top w:val="single" w:sz="16" w:space="0" w:color="D3D3D3"/>
                    <w:bottom w:val="single" w:sz="16" w:space="0" w:color="D3D3D3"/>
                  </w:tcBorders>
                </w:tcPr>
                <w:p>
                  <w:pPr>
                    <w:spacing w:before="0" w:after="60"/>
                    <w:keepNext/>
                    <w:jc w:val="end"/>
                  </w:pPr>
                  <w:r>
                    <w:rPr>
                      <w:rFonts w:ascii="Calibri" w:hAnsi="Calibri"/>
                      <w:sz w:val="small"/>
                    </w:rPr>
                    <w:t xml:space="default">Max |Abs diff|</w:t>
                  </w:r>
                </w:p>
              </w:tc>
              <w:tc>
                <w:tcPr>
                  <w:tcBorders>
                    <w:top w:val="single" w:sz="16" w:space="0" w:color="D3D3D3"/>
                    <w:bottom w:val="single" w:sz="16" w:space="0" w:color="D3D3D3"/>
                  </w:tcBorders>
                </w:tcPr>
                <w:p>
                  <w:pPr>
                    <w:spacing w:before="0" w:after="60"/>
                    <w:keepNext/>
                    <w:jc w:val="end"/>
                  </w:pPr>
                  <w:r>
                    <w:rPr>
                      <w:rFonts w:ascii="Calibri" w:hAnsi="Calibri"/>
                      <w:sz w:val="small"/>
                    </w:rPr>
                    <w:t xml:space="default">Max |% diff|</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small"/>
                    </w:rPr>
                    <w:t xml:space="default">Correlation</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small"/>
                    </w:rPr>
                    <w:t xml:space="default">N</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small"/>
                    </w:rPr>
                    <w:t xml:space="default">TRUE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small"/>
                    </w:rPr>
                    <w:t xml:space="default">915</w:t>
                  </w:r>
                </w:p>
              </w:tc>
              <w:tc>
                <w:tcPr>
                  <w:tcBorders>
                    <w:top w:val="single" w:space="0" w:color="D3D3D3"/>
                    <w:bottom w:val="single" w:space="0" w:color="D3D3D3"/>
                    <w:start w:val="single" w:space="0" w:color="D3D3D3"/>
                    <w:end w:val="single" w:space="0" w:color="D3D3D3"/>
                  </w:tcBorders>
                  <w:shd w:val="clear" w:color="auto" w:fill="00008B"/>
                </w:tcPr>
                <w:p>
                  <w:pPr>
                    <w:spacing w:before="0" w:after="60"/>
                    <w:keepNext/>
                    <w:jc w:val="end"/>
                  </w:pPr>
                  <w:r>
                    <w:rPr>
                      <w:rFonts w:ascii="Calibri" w:hAnsi="Calibri"/>
                      <w:sz w:val="small"/>
                      <w:color w:val="FFFFFF"/>
                    </w:rPr>
                    <w:t xml:space="default">0.049919</w:t>
                  </w:r>
                </w:p>
              </w:tc>
              <w:tc>
                <w:tcPr>
                  <w:tcBorders>
                    <w:top w:val="single" w:space="0" w:color="D3D3D3"/>
                    <w:bottom w:val="single" w:space="0" w:color="D3D3D3"/>
                    <w:start w:val="single" w:space="0" w:color="D3D3D3"/>
                    <w:end w:val="single" w:space="0" w:color="D3D3D3"/>
                  </w:tcBorders>
                  <w:shd w:val="clear" w:color="auto" w:fill="FF4C00"/>
                </w:tcPr>
                <w:p>
                  <w:pPr>
                    <w:spacing w:before="0" w:after="60"/>
                    <w:keepNext/>
                    <w:jc w:val="end"/>
                  </w:pPr>
                  <w:r>
                    <w:rPr>
                      <w:rFonts w:ascii="Calibri" w:hAnsi="Calibri"/>
                      <w:sz w:val="small"/>
                      <w:color w:val="FFFFFF"/>
                    </w:rPr>
                    <w:t xml:space="default">0.000486</w:t>
                  </w:r>
                </w:p>
              </w:tc>
              <w:tc>
                <w:tcPr>
                  <w:tcBorders>
                    <w:top w:val="single" w:space="0" w:color="D3D3D3"/>
                    <w:bottom w:val="single" w:space="0" w:color="D3D3D3"/>
                    <w:start w:val="single" w:space="0" w:color="D3D3D3"/>
                    <w:end w:val="single" w:space="0" w:color="D3D3D3"/>
                  </w:tcBorders>
                  <w:shd w:val="clear" w:color="auto" w:fill="006400"/>
                </w:tcPr>
                <w:p>
                  <w:pPr>
                    <w:spacing w:before="0" w:after="60"/>
                    <w:keepNext/>
                    <w:jc w:val="end"/>
                  </w:pPr>
                  <w:r>
                    <w:rPr>
                      <w:rFonts w:ascii="Calibri" w:hAnsi="Calibri"/>
                      <w:sz w:val="small"/>
                      <w:color w:val="FFFFFF"/>
                    </w:rPr>
                    <w:t xml:space="default">1.000000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small"/>
                    </w:rPr>
                    <w:t xml:space="default">Z</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small"/>
                    </w:rPr>
                    <w:t xml:space="default">TRUE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small"/>
                    </w:rPr>
                    <w:t xml:space="default">915</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small"/>
                      <w:color w:val="000000"/>
                    </w:rPr>
                    <w:t xml:space="default">0.000000</w:t>
                  </w:r>
                </w:p>
              </w:tc>
              <w:tc>
                <w:tcPr>
                  <w:tcBorders>
                    <w:top w:val="single" w:space="0" w:color="D3D3D3"/>
                    <w:bottom w:val="single" w:space="0" w:color="D3D3D3"/>
                    <w:start w:val="single" w:space="0" w:color="D3D3D3"/>
                    <w:end w:val="single" w:space="0" w:color="D3D3D3"/>
                  </w:tcBorders>
                  <w:shd w:val="clear" w:color="auto" w:fill="FFFF7D"/>
                </w:tcPr>
                <w:p>
                  <w:pPr>
                    <w:spacing w:before="0" w:after="60"/>
                    <w:keepNext/>
                    <w:jc w:val="end"/>
                  </w:pPr>
                  <w:r>
                    <w:rPr>
                      <w:rFonts w:ascii="Calibri" w:hAnsi="Calibri"/>
                      <w:sz w:val="small"/>
                      <w:color w:val="000000"/>
                    </w:rPr>
                    <w:t xml:space="default">0.000161</w:t>
                  </w:r>
                </w:p>
              </w:tc>
              <w:tc>
                <w:tcPr>
                  <w:tcBorders>
                    <w:top w:val="single" w:space="0" w:color="D3D3D3"/>
                    <w:bottom w:val="single" w:space="0" w:color="D3D3D3"/>
                    <w:start w:val="single" w:space="0" w:color="D3D3D3"/>
                    <w:end w:val="single" w:space="0" w:color="D3D3D3"/>
                  </w:tcBorders>
                  <w:shd w:val="clear" w:color="auto" w:fill="006400"/>
                </w:tcPr>
                <w:p>
                  <w:pPr>
                    <w:spacing w:before="0" w:after="60"/>
                    <w:keepNext/>
                    <w:jc w:val="end"/>
                  </w:pPr>
                  <w:r>
                    <w:rPr>
                      <w:rFonts w:ascii="Calibri" w:hAnsi="Calibri"/>
                      <w:sz w:val="small"/>
                      <w:color w:val="FFFFFF"/>
                    </w:rPr>
                    <w:t xml:space="default">1.000000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small"/>
                    </w:rPr>
                    <w:t xml:space="default">F</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small"/>
                    </w:rPr>
                    <w:t xml:space="default">TRUE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small"/>
                    </w:rPr>
                    <w:t xml:space="default">915</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small"/>
                      <w:color w:val="000000"/>
                    </w:rPr>
                    <w:t xml:space="default">0.000000</w:t>
                  </w:r>
                </w:p>
              </w:tc>
              <w:tc>
                <w:tcPr>
                  <w:tcBorders>
                    <w:top w:val="single" w:space="0" w:color="D3D3D3"/>
                    <w:bottom w:val="single" w:space="0" w:color="D3D3D3"/>
                    <w:start w:val="single" w:space="0" w:color="D3D3D3"/>
                    <w:end w:val="single" w:space="0" w:color="D3D3D3"/>
                  </w:tcBorders>
                  <w:shd w:val="clear" w:color="auto" w:fill="FF5100"/>
                </w:tcPr>
                <w:p>
                  <w:pPr>
                    <w:spacing w:before="0" w:after="60"/>
                    <w:keepNext/>
                    <w:jc w:val="end"/>
                  </w:pPr>
                  <w:r>
                    <w:rPr>
                      <w:rFonts w:ascii="Calibri" w:hAnsi="Calibri"/>
                      <w:sz w:val="small"/>
                      <w:color w:val="FFFFFF"/>
                    </w:rPr>
                    <w:t xml:space="default">0.000482</w:t>
                  </w:r>
                </w:p>
              </w:tc>
              <w:tc>
                <w:tcPr>
                  <w:tcBorders>
                    <w:top w:val="single" w:space="0" w:color="D3D3D3"/>
                    <w:bottom w:val="single" w:space="0" w:color="D3D3D3"/>
                    <w:start w:val="single" w:space="0" w:color="D3D3D3"/>
                    <w:end w:val="single" w:space="0" w:color="D3D3D3"/>
                  </w:tcBorders>
                  <w:shd w:val="clear" w:color="auto" w:fill="006400"/>
                </w:tcPr>
                <w:p>
                  <w:pPr>
                    <w:spacing w:before="0" w:after="60"/>
                    <w:keepNext/>
                    <w:jc w:val="end"/>
                  </w:pPr>
                  <w:r>
                    <w:rPr>
                      <w:rFonts w:ascii="Calibri" w:hAnsi="Calibri"/>
                      <w:sz w:val="small"/>
                      <w:color w:val="FFFFFF"/>
                    </w:rPr>
                    <w:t xml:space="default">1.000000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small"/>
                    </w:rPr>
                    <w:t xml:space="default">M</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small"/>
                    </w:rPr>
                    <w:t xml:space="default">TRUE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small"/>
                    </w:rPr>
                    <w:t xml:space="default">915</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small"/>
                      <w:color w:val="000000"/>
                    </w:rPr>
                    <w:t xml:space="default">0.000000</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small"/>
                      <w:color w:val="000000"/>
                    </w:rPr>
                    <w:t xml:space="default">0.000000</w:t>
                  </w:r>
                </w:p>
              </w:tc>
              <w:tc>
                <w:tcPr>
                  <w:tcBorders>
                    <w:top w:val="single" w:space="0" w:color="D3D3D3"/>
                    <w:bottom w:val="single" w:space="0" w:color="D3D3D3"/>
                    <w:start w:val="single" w:space="0" w:color="D3D3D3"/>
                    <w:end w:val="single" w:space="0" w:color="D3D3D3"/>
                  </w:tcBorders>
                  <w:shd w:val="clear" w:color="auto" w:fill="006400"/>
                </w:tcPr>
                <w:p>
                  <w:pPr>
                    <w:spacing w:before="0" w:after="60"/>
                    <w:keepNext/>
                    <w:jc w:val="end"/>
                  </w:pPr>
                  <w:r>
                    <w:rPr>
                      <w:rFonts w:ascii="Calibri" w:hAnsi="Calibri"/>
                      <w:sz w:val="small"/>
                      <w:color w:val="FFFFFF"/>
                    </w:rPr>
                    <w:t xml:space="default">1.000000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small"/>
                    </w:rPr>
                    <w:t xml:space="default">S</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small"/>
                    </w:rPr>
                    <w:t xml:space="default">TRUE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small"/>
                    </w:rPr>
                    <w:t xml:space="default">915</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small"/>
                      <w:color w:val="000000"/>
                    </w:rPr>
                    <w:t xml:space="default">0.000000</w:t>
                  </w:r>
                </w:p>
              </w:tc>
              <w:tc>
                <w:tcPr>
                  <w:tcBorders>
                    <w:top w:val="single" w:space="0" w:color="D3D3D3"/>
                    <w:bottom w:val="single" w:space="0" w:color="D3D3D3"/>
                    <w:start w:val="single" w:space="0" w:color="D3D3D3"/>
                    <w:end w:val="single" w:space="0" w:color="D3D3D3"/>
                  </w:tcBorders>
                  <w:shd w:val="clear" w:color="auto" w:fill="FFFF9E"/>
                </w:tcPr>
                <w:p>
                  <w:pPr>
                    <w:spacing w:before="0" w:after="60"/>
                    <w:keepNext/>
                    <w:jc w:val="end"/>
                  </w:pPr>
                  <w:r>
                    <w:rPr>
                      <w:rFonts w:ascii="Calibri" w:hAnsi="Calibri"/>
                      <w:sz w:val="small"/>
                      <w:color w:val="000000"/>
                    </w:rPr>
                    <w:t xml:space="default">0.000123</w:t>
                  </w:r>
                </w:p>
              </w:tc>
              <w:tc>
                <w:tcPr>
                  <w:tcBorders>
                    <w:top w:val="single" w:space="0" w:color="D3D3D3"/>
                    <w:bottom w:val="single" w:space="0" w:color="D3D3D3"/>
                    <w:start w:val="single" w:space="0" w:color="D3D3D3"/>
                    <w:end w:val="single" w:space="0" w:color="D3D3D3"/>
                  </w:tcBorders>
                  <w:shd w:val="clear" w:color="auto" w:fill="006400"/>
                </w:tcPr>
                <w:p>
                  <w:pPr>
                    <w:spacing w:before="0" w:after="60"/>
                    <w:keepNext/>
                    <w:jc w:val="end"/>
                  </w:pPr>
                  <w:r>
                    <w:rPr>
                      <w:rFonts w:ascii="Calibri" w:hAnsi="Calibri"/>
                      <w:sz w:val="small"/>
                      <w:color w:val="FFFFFF"/>
                    </w:rPr>
                    <w:t xml:space="default">1.000000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small"/>
                    </w:rPr>
                    <w:t xml:space="default">pred_catch</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small"/>
                    </w:rPr>
                    <w:t xml:space="default">TRUE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small"/>
                    </w:rPr>
                    <w:t xml:space="default">61</w:t>
                  </w:r>
                </w:p>
              </w:tc>
              <w:tc>
                <w:tcPr>
                  <w:tcBorders>
                    <w:top w:val="single" w:space="0" w:color="D3D3D3"/>
                    <w:bottom w:val="single" w:space="0" w:color="D3D3D3"/>
                    <w:start w:val="single" w:space="0" w:color="D3D3D3"/>
                    <w:end w:val="single" w:space="0" w:color="D3D3D3"/>
                  </w:tcBorders>
                  <w:shd w:val="clear" w:color="auto" w:fill="EFF7FA"/>
                </w:tcPr>
                <w:p>
                  <w:pPr>
                    <w:spacing w:before="0" w:after="60"/>
                    <w:keepNext/>
                    <w:jc w:val="end"/>
                  </w:pPr>
                  <w:r>
                    <w:rPr>
                      <w:rFonts w:ascii="Calibri" w:hAnsi="Calibri"/>
                      <w:sz w:val="small"/>
                      <w:color w:val="000000"/>
                    </w:rPr>
                    <w:t xml:space="default">0.004971</w:t>
                  </w:r>
                </w:p>
              </w:tc>
              <w:tc>
                <w:tcPr>
                  <w:tcBorders>
                    <w:top w:val="single" w:space="0" w:color="D3D3D3"/>
                    <w:bottom w:val="single" w:space="0" w:color="D3D3D3"/>
                    <w:start w:val="single" w:space="0" w:color="D3D3D3"/>
                    <w:end w:val="single" w:space="0" w:color="D3D3D3"/>
                  </w:tcBorders>
                  <w:shd w:val="clear" w:color="auto" w:fill="FFA300"/>
                </w:tcPr>
                <w:p>
                  <w:pPr>
                    <w:spacing w:before="0" w:after="60"/>
                    <w:keepNext/>
                    <w:jc w:val="end"/>
                  </w:pPr>
                  <w:r>
                    <w:rPr>
                      <w:rFonts w:ascii="Calibri" w:hAnsi="Calibri"/>
                      <w:sz w:val="small"/>
                      <w:color w:val="000000"/>
                    </w:rPr>
                    <w:t xml:space="default">0.000383</w:t>
                  </w:r>
                </w:p>
              </w:tc>
              <w:tc>
                <w:tcPr>
                  <w:tcBorders>
                    <w:top w:val="single" w:space="0" w:color="D3D3D3"/>
                    <w:bottom w:val="single" w:space="0" w:color="D3D3D3"/>
                    <w:start w:val="single" w:space="0" w:color="D3D3D3"/>
                    <w:end w:val="single" w:space="0" w:color="D3D3D3"/>
                  </w:tcBorders>
                  <w:shd w:val="clear" w:color="auto" w:fill="006400"/>
                </w:tcPr>
                <w:p>
                  <w:pPr>
                    <w:spacing w:before="0" w:after="60"/>
                    <w:keepNext/>
                    <w:jc w:val="end"/>
                  </w:pPr>
                  <w:r>
                    <w:rPr>
                      <w:rFonts w:ascii="Calibri" w:hAnsi="Calibri"/>
                      <w:sz w:val="small"/>
                      <w:color w:val="FFFFFF"/>
                    </w:rPr>
                    <w:t xml:space="default">1.000000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small"/>
                    </w:rPr>
                    <w:t xml:space="default">obs_catch</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small"/>
                    </w:rPr>
                    <w:t xml:space="default">TRUE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small"/>
                    </w:rPr>
                    <w:t xml:space="default">61</w:t>
                  </w:r>
                </w:p>
              </w:tc>
              <w:tc>
                <w:tcPr>
                  <w:tcBorders>
                    <w:top w:val="single" w:space="0" w:color="D3D3D3"/>
                    <w:bottom w:val="single" w:space="0" w:color="D3D3D3"/>
                    <w:start w:val="single" w:space="0" w:color="D3D3D3"/>
                    <w:end w:val="single" w:space="0" w:color="D3D3D3"/>
                  </w:tcBorders>
                  <w:shd w:val="clear" w:color="auto" w:fill="EFF7FA"/>
                </w:tcPr>
                <w:p>
                  <w:pPr>
                    <w:spacing w:before="0" w:after="60"/>
                    <w:keepNext/>
                    <w:jc w:val="end"/>
                  </w:pPr>
                  <w:r>
                    <w:rPr>
                      <w:rFonts w:ascii="Calibri" w:hAnsi="Calibri"/>
                      <w:sz w:val="small"/>
                      <w:color w:val="000000"/>
                    </w:rPr>
                    <w:t xml:space="default">0.005000</w:t>
                  </w:r>
                </w:p>
              </w:tc>
              <w:tc>
                <w:tcPr>
                  <w:tcBorders>
                    <w:top w:val="single" w:space="0" w:color="D3D3D3"/>
                    <w:bottom w:val="single" w:space="0" w:color="D3D3D3"/>
                    <w:start w:val="single" w:space="0" w:color="D3D3D3"/>
                    <w:end w:val="single" w:space="0" w:color="D3D3D3"/>
                  </w:tcBorders>
                  <w:shd w:val="clear" w:color="auto" w:fill="FF6800"/>
                </w:tcPr>
                <w:p>
                  <w:pPr>
                    <w:spacing w:before="0" w:after="60"/>
                    <w:keepNext/>
                    <w:jc w:val="end"/>
                  </w:pPr>
                  <w:r>
                    <w:rPr>
                      <w:rFonts w:ascii="Calibri" w:hAnsi="Calibri"/>
                      <w:sz w:val="small"/>
                      <w:color w:val="FFFFFF"/>
                    </w:rPr>
                    <w:t xml:space="default">0.000458</w:t>
                  </w:r>
                </w:p>
              </w:tc>
              <w:tc>
                <w:tcPr>
                  <w:tcBorders>
                    <w:top w:val="single" w:space="0" w:color="D3D3D3"/>
                    <w:bottom w:val="single" w:space="0" w:color="D3D3D3"/>
                    <w:start w:val="single" w:space="0" w:color="D3D3D3"/>
                    <w:end w:val="single" w:space="0" w:color="D3D3D3"/>
                  </w:tcBorders>
                  <w:shd w:val="clear" w:color="auto" w:fill="006400"/>
                </w:tcPr>
                <w:p>
                  <w:pPr>
                    <w:spacing w:before="0" w:after="60"/>
                    <w:keepNext/>
                    <w:jc w:val="end"/>
                  </w:pPr>
                  <w:r>
                    <w:rPr>
                      <w:rFonts w:ascii="Calibri" w:hAnsi="Calibri"/>
                      <w:sz w:val="small"/>
                      <w:color w:val="FFFFFF"/>
                    </w:rPr>
                    <w:t xml:space="default">1.000000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small"/>
                    </w:rPr>
                    <w:t xml:space="default">SSB</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small"/>
                    </w:rPr>
                    <w:t xml:space="default">TRUE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small"/>
                    </w:rPr>
                    <w:t xml:space="default">61</w:t>
                  </w:r>
                </w:p>
              </w:tc>
              <w:tc>
                <w:tcPr>
                  <w:tcBorders>
                    <w:top w:val="single" w:space="0" w:color="D3D3D3"/>
                    <w:bottom w:val="single" w:space="0" w:color="D3D3D3"/>
                    <w:start w:val="single" w:space="0" w:color="D3D3D3"/>
                    <w:end w:val="single" w:space="0" w:color="D3D3D3"/>
                  </w:tcBorders>
                  <w:shd w:val="clear" w:color="auto" w:fill="EFF7FA"/>
                </w:tcPr>
                <w:p>
                  <w:pPr>
                    <w:spacing w:before="0" w:after="60"/>
                    <w:keepNext/>
                    <w:jc w:val="end"/>
                  </w:pPr>
                  <w:r>
                    <w:rPr>
                      <w:rFonts w:ascii="Calibri" w:hAnsi="Calibri"/>
                      <w:sz w:val="small"/>
                      <w:color w:val="000000"/>
                    </w:rPr>
                    <w:t xml:space="default">0.004955</w:t>
                  </w:r>
                </w:p>
              </w:tc>
              <w:tc>
                <w:tcPr>
                  <w:tcBorders>
                    <w:top w:val="single" w:space="0" w:color="D3D3D3"/>
                    <w:bottom w:val="single" w:space="0" w:color="D3D3D3"/>
                    <w:start w:val="single" w:space="0" w:color="D3D3D3"/>
                    <w:end w:val="single" w:space="0" w:color="D3D3D3"/>
                  </w:tcBorders>
                  <w:shd w:val="clear" w:color="auto" w:fill="FF7100"/>
                </w:tcPr>
                <w:p>
                  <w:pPr>
                    <w:spacing w:before="0" w:after="60"/>
                    <w:keepNext/>
                    <w:jc w:val="end"/>
                  </w:pPr>
                  <w:r>
                    <w:rPr>
                      <w:rFonts w:ascii="Calibri" w:hAnsi="Calibri"/>
                      <w:sz w:val="small"/>
                      <w:color w:val="FFFFFF"/>
                    </w:rPr>
                    <w:t xml:space="default">0.000447</w:t>
                  </w:r>
                </w:p>
              </w:tc>
              <w:tc>
                <w:tcPr>
                  <w:tcBorders>
                    <w:top w:val="single" w:space="0" w:color="D3D3D3"/>
                    <w:bottom w:val="single" w:space="0" w:color="D3D3D3"/>
                    <w:start w:val="single" w:space="0" w:color="D3D3D3"/>
                    <w:end w:val="single" w:space="0" w:color="D3D3D3"/>
                  </w:tcBorders>
                  <w:shd w:val="clear" w:color="auto" w:fill="006400"/>
                </w:tcPr>
                <w:p>
                  <w:pPr>
                    <w:spacing w:before="0" w:after="60"/>
                    <w:keepNext/>
                    <w:jc w:val="end"/>
                  </w:pPr>
                  <w:r>
                    <w:rPr>
                      <w:rFonts w:ascii="Calibri" w:hAnsi="Calibri"/>
                      <w:sz w:val="small"/>
                      <w:color w:val="FFFFFF"/>
                    </w:rPr>
                    <w:t xml:space="default">1.000000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small"/>
                    </w:rPr>
                    <w:t xml:space="default">phizero</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small"/>
                    </w:rPr>
                    <w:t xml:space="default">TRUE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small"/>
                    </w:rPr>
                    <w:t xml:space="default">1</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small"/>
                      <w:color w:val="000000"/>
                    </w:rPr>
                    <w:t xml:space="default">0.000000</w:t>
                  </w:r>
                </w:p>
              </w:tc>
              <w:tc>
                <w:tcPr>
                  <w:tcBorders>
                    <w:top w:val="single" w:space="0" w:color="D3D3D3"/>
                    <w:bottom w:val="single" w:space="0" w:color="D3D3D3"/>
                    <w:start w:val="single" w:space="0" w:color="D3D3D3"/>
                    <w:end w:val="single" w:space="0" w:color="D3D3D3"/>
                  </w:tcBorders>
                  <w:shd w:val="clear" w:color="auto" w:fill="FFFF63"/>
                </w:tcPr>
                <w:p>
                  <w:pPr>
                    <w:spacing w:before="0" w:after="60"/>
                    <w:keepNext/>
                    <w:jc w:val="end"/>
                  </w:pPr>
                  <w:r>
                    <w:rPr>
                      <w:rFonts w:ascii="Calibri" w:hAnsi="Calibri"/>
                      <w:sz w:val="small"/>
                      <w:color w:val="000000"/>
                    </w:rPr>
                    <w:t xml:space="default">0.000189</w:t>
                  </w:r>
                </w:p>
              </w:tc>
              <w:tc>
                <w:tcPr>
                  <w:tcBorders>
                    <w:top w:val="single" w:space="0" w:color="D3D3D3"/>
                    <w:bottom w:val="single" w:space="0" w:color="D3D3D3"/>
                    <w:start w:val="single" w:space="0" w:color="D3D3D3"/>
                    <w:end w:val="single" w:space="0" w:color="D3D3D3"/>
                  </w:tcBorders>
                  <w:shd w:val="clear" w:color="auto" w:fill="808080"/>
                </w:tcPr>
                <w:p>
                  <w:pPr>
                    <w:spacing w:before="0" w:after="60"/>
                    <w:keepNext/>
                    <w:jc w:val="end"/>
                  </w:pPr>
                  <w:r>
                    <w:rPr>
                      <w:rFonts w:ascii="Calibri" w:hAnsi="Calibri"/>
                      <w:sz w:val="small"/>
                      <w:color w:val="FFFFFF"/>
                    </w:rPr>
                    <w:t xml:space="default">NA</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small"/>
                    </w:rPr>
                    <w:t xml:space="default">Bzero</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small"/>
                    </w:rPr>
                    <w:t xml:space="default">TRUE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small"/>
                    </w:rPr>
                    <w:t xml:space="default">1</w:t>
                  </w:r>
                </w:p>
              </w:tc>
              <w:tc>
                <w:tcPr>
                  <w:tcBorders>
                    <w:top w:val="single" w:space="0" w:color="D3D3D3"/>
                    <w:bottom w:val="single" w:space="0" w:color="D3D3D3"/>
                    <w:start w:val="single" w:space="0" w:color="D3D3D3"/>
                    <w:end w:val="single" w:space="0" w:color="D3D3D3"/>
                  </w:tcBorders>
                  <w:shd w:val="clear" w:color="auto" w:fill="F7FBFD"/>
                </w:tcPr>
                <w:p>
                  <w:pPr>
                    <w:spacing w:before="0" w:after="60"/>
                    <w:keepNext/>
                    <w:jc w:val="end"/>
                  </w:pPr>
                  <w:r>
                    <w:rPr>
                      <w:rFonts w:ascii="Calibri" w:hAnsi="Calibri"/>
                      <w:sz w:val="small"/>
                      <w:color w:val="000000"/>
                    </w:rPr>
                    <w:t xml:space="default">0.002409</w:t>
                  </w:r>
                </w:p>
              </w:tc>
              <w:tc>
                <w:tcPr>
                  <w:tcBorders>
                    <w:top w:val="single" w:space="0" w:color="D3D3D3"/>
                    <w:bottom w:val="single" w:space="0" w:color="D3D3D3"/>
                    <w:start w:val="single" w:space="0" w:color="D3D3D3"/>
                    <w:end w:val="single" w:space="0" w:color="D3D3D3"/>
                  </w:tcBorders>
                  <w:shd w:val="clear" w:color="auto" w:fill="FFFFE0"/>
                </w:tcPr>
                <w:p>
                  <w:pPr>
                    <w:spacing w:before="0" w:after="60"/>
                    <w:keepNext/>
                    <w:jc w:val="end"/>
                  </w:pPr>
                  <w:r>
                    <w:rPr>
                      <w:rFonts w:ascii="Calibri" w:hAnsi="Calibri"/>
                      <w:sz w:val="small"/>
                      <w:color w:val="000000"/>
                    </w:rPr>
                    <w:t xml:space="default">0.000039</w:t>
                  </w:r>
                </w:p>
              </w:tc>
              <w:tc>
                <w:tcPr>
                  <w:tcBorders>
                    <w:top w:val="single" w:space="0" w:color="D3D3D3"/>
                    <w:bottom w:val="single" w:space="0" w:color="D3D3D3"/>
                    <w:start w:val="single" w:space="0" w:color="D3D3D3"/>
                    <w:end w:val="single" w:space="0" w:color="D3D3D3"/>
                  </w:tcBorders>
                  <w:shd w:val="clear" w:color="auto" w:fill="808080"/>
                </w:tcPr>
                <w:p>
                  <w:pPr>
                    <w:spacing w:before="0" w:after="60"/>
                    <w:keepNext/>
                    <w:jc w:val="end"/>
                  </w:pPr>
                  <w:r>
                    <w:rPr>
                      <w:rFonts w:ascii="Calibri" w:hAnsi="Calibri"/>
                      <w:sz w:val="small"/>
                      <w:color w:val="FFFFFF"/>
                    </w:rPr>
                    <w:t xml:space="default">NA</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small"/>
                    </w:rPr>
                    <w:t xml:space="default">steepness</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small"/>
                    </w:rPr>
                    <w:t xml:space="default">TRUE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small"/>
                    </w:rPr>
                    <w:t xml:space="default">1</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small"/>
                      <w:color w:val="000000"/>
                    </w:rPr>
                    <w:t xml:space="default">0.000000</w:t>
                  </w:r>
                </w:p>
              </w:tc>
              <w:tc>
                <w:tcPr>
                  <w:tcBorders>
                    <w:top w:val="single" w:space="0" w:color="D3D3D3"/>
                    <w:bottom w:val="single" w:space="0" w:color="D3D3D3"/>
                    <w:start w:val="single" w:space="0" w:color="D3D3D3"/>
                    <w:end w:val="single" w:space="0" w:color="D3D3D3"/>
                  </w:tcBorders>
                  <w:shd w:val="clear" w:color="auto" w:fill="FFFFD8"/>
                </w:tcPr>
                <w:p>
                  <w:pPr>
                    <w:spacing w:before="0" w:after="60"/>
                    <w:keepNext/>
                    <w:jc w:val="end"/>
                  </w:pPr>
                  <w:r>
                    <w:rPr>
                      <w:rFonts w:ascii="Calibri" w:hAnsi="Calibri"/>
                      <w:sz w:val="small"/>
                      <w:color w:val="000000"/>
                    </w:rPr>
                    <w:t xml:space="default">0.000051</w:t>
                  </w:r>
                </w:p>
              </w:tc>
              <w:tc>
                <w:tcPr>
                  <w:tcBorders>
                    <w:top w:val="single" w:space="0" w:color="D3D3D3"/>
                    <w:bottom w:val="single" w:space="0" w:color="D3D3D3"/>
                    <w:start w:val="single" w:space="0" w:color="D3D3D3"/>
                    <w:end w:val="single" w:space="0" w:color="D3D3D3"/>
                  </w:tcBorders>
                  <w:shd w:val="clear" w:color="auto" w:fill="808080"/>
                </w:tcPr>
                <w:p>
                  <w:pPr>
                    <w:spacing w:before="0" w:after="60"/>
                    <w:keepNext/>
                    <w:jc w:val="end"/>
                  </w:pPr>
                  <w:r>
                    <w:rPr>
                      <w:rFonts w:ascii="Calibri" w:hAnsi="Calibri"/>
                      <w:sz w:val="small"/>
                      <w:color w:val="FFFFFF"/>
                    </w:rPr>
                    <w:t xml:space="default">NA</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small"/>
                    </w:rPr>
                    <w:t xml:space="default">pred_cpue</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small"/>
                    </w:rPr>
                    <w:t xml:space="default">TRUE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small"/>
                    </w:rPr>
                    <w:t xml:space="default">12</w:t>
                  </w:r>
                </w:p>
              </w:tc>
              <w:tc>
                <w:tcPr>
                  <w:tcBorders>
                    <w:top w:val="single" w:space="0" w:color="D3D3D3"/>
                    <w:bottom w:val="single" w:space="0" w:color="D3D3D3"/>
                    <w:start w:val="single" w:space="0" w:color="D3D3D3"/>
                    <w:end w:val="single" w:space="0" w:color="D3D3D3"/>
                  </w:tcBorders>
                  <w:shd w:val="clear" w:color="auto" w:fill="F0F8FA"/>
                </w:tcPr>
                <w:p>
                  <w:pPr>
                    <w:spacing w:before="0" w:after="60"/>
                    <w:keepNext/>
                    <w:jc w:val="end"/>
                  </w:pPr>
                  <w:r>
                    <w:rPr>
                      <w:rFonts w:ascii="Calibri" w:hAnsi="Calibri"/>
                      <w:sz w:val="small"/>
                      <w:color w:val="000000"/>
                    </w:rPr>
                    <w:t xml:space="default">0.004586</w:t>
                  </w:r>
                </w:p>
              </w:tc>
              <w:tc>
                <w:tcPr>
                  <w:tcBorders>
                    <w:top w:val="single" w:space="0" w:color="D3D3D3"/>
                    <w:bottom w:val="single" w:space="0" w:color="D3D3D3"/>
                    <w:start w:val="single" w:space="0" w:color="D3D3D3"/>
                    <w:end w:val="single" w:space="0" w:color="D3D3D3"/>
                  </w:tcBorders>
                  <w:shd w:val="clear" w:color="auto" w:fill="FFFF8A"/>
                </w:tcPr>
                <w:p>
                  <w:pPr>
                    <w:spacing w:before="0" w:after="60"/>
                    <w:keepNext/>
                    <w:jc w:val="end"/>
                  </w:pPr>
                  <w:r>
                    <w:rPr>
                      <w:rFonts w:ascii="Calibri" w:hAnsi="Calibri"/>
                      <w:sz w:val="small"/>
                      <w:color w:val="000000"/>
                    </w:rPr>
                    <w:t xml:space="default">0.000146</w:t>
                  </w:r>
                </w:p>
              </w:tc>
              <w:tc>
                <w:tcPr>
                  <w:tcBorders>
                    <w:top w:val="single" w:space="0" w:color="D3D3D3"/>
                    <w:bottom w:val="single" w:space="0" w:color="D3D3D3"/>
                    <w:start w:val="single" w:space="0" w:color="D3D3D3"/>
                    <w:end w:val="single" w:space="0" w:color="D3D3D3"/>
                  </w:tcBorders>
                  <w:shd w:val="clear" w:color="auto" w:fill="006400"/>
                </w:tcPr>
                <w:p>
                  <w:pPr>
                    <w:spacing w:before="0" w:after="60"/>
                    <w:keepNext/>
                    <w:jc w:val="end"/>
                  </w:pPr>
                  <w:r>
                    <w:rPr>
                      <w:rFonts w:ascii="Calibri" w:hAnsi="Calibri"/>
                      <w:sz w:val="small"/>
                      <w:color w:val="FFFFFF"/>
                    </w:rPr>
                    <w:t xml:space="default">1.000000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small"/>
                    </w:rPr>
                    <w:t xml:space="default">pred_avo</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small"/>
                    </w:rPr>
                    <w:t xml:space="default">TRUE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small"/>
                    </w:rPr>
                    <w:t xml:space="default">18</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small"/>
                      <w:color w:val="000000"/>
                    </w:rPr>
                    <w:t xml:space="default">0.000005</w:t>
                  </w:r>
                </w:p>
              </w:tc>
              <w:tc>
                <w:tcPr>
                  <w:tcBorders>
                    <w:top w:val="single" w:space="0" w:color="D3D3D3"/>
                    <w:bottom w:val="single" w:space="0" w:color="D3D3D3"/>
                    <w:start w:val="single" w:space="0" w:color="D3D3D3"/>
                    <w:end w:val="single" w:space="0" w:color="D3D3D3"/>
                  </w:tcBorders>
                  <w:shd w:val="clear" w:color="auto" w:fill="FF8F00"/>
                </w:tcPr>
                <w:p>
                  <w:pPr>
                    <w:spacing w:before="0" w:after="60"/>
                    <w:keepNext/>
                    <w:jc w:val="end"/>
                  </w:pPr>
                  <w:r>
                    <w:rPr>
                      <w:rFonts w:ascii="Calibri" w:hAnsi="Calibri"/>
                      <w:sz w:val="small"/>
                      <w:color w:val="000000"/>
                    </w:rPr>
                    <w:t xml:space="default">0.000409</w:t>
                  </w:r>
                </w:p>
              </w:tc>
              <w:tc>
                <w:tcPr>
                  <w:tcBorders>
                    <w:top w:val="single" w:space="0" w:color="D3D3D3"/>
                    <w:bottom w:val="single" w:space="0" w:color="D3D3D3"/>
                    <w:start w:val="single" w:space="0" w:color="D3D3D3"/>
                    <w:end w:val="single" w:space="0" w:color="D3D3D3"/>
                  </w:tcBorders>
                  <w:shd w:val="clear" w:color="auto" w:fill="006400"/>
                </w:tcPr>
                <w:p>
                  <w:pPr>
                    <w:spacing w:before="0" w:after="60"/>
                    <w:keepNext/>
                    <w:jc w:val="end"/>
                  </w:pPr>
                  <w:r>
                    <w:rPr>
                      <w:rFonts w:ascii="Calibri" w:hAnsi="Calibri"/>
                      <w:sz w:val="small"/>
                      <w:color w:val="FFFFFF"/>
                    </w:rPr>
                    <w:t xml:space="default">1.000000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small"/>
                    </w:rPr>
                    <w:t xml:space="default">eb_bts</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small"/>
                    </w:rPr>
                    <w:t xml:space="default">TRUE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small"/>
                    </w:rPr>
                    <w:t xml:space="default">42</w:t>
                  </w:r>
                </w:p>
              </w:tc>
              <w:tc>
                <w:tcPr>
                  <w:tcBorders>
                    <w:top w:val="single" w:space="0" w:color="D3D3D3"/>
                    <w:bottom w:val="single" w:space="0" w:color="D3D3D3"/>
                    <w:start w:val="single" w:space="0" w:color="D3D3D3"/>
                    <w:end w:val="single" w:space="0" w:color="D3D3D3"/>
                  </w:tcBorders>
                  <w:shd w:val="clear" w:color="auto" w:fill="1A0E90"/>
                </w:tcPr>
                <w:p>
                  <w:pPr>
                    <w:spacing w:before="0" w:after="60"/>
                    <w:keepNext/>
                    <w:jc w:val="end"/>
                  </w:pPr>
                  <w:r>
                    <w:rPr>
                      <w:rFonts w:ascii="Calibri" w:hAnsi="Calibri"/>
                      <w:sz w:val="small"/>
                      <w:color w:val="FFFFFF"/>
                    </w:rPr>
                    <w:t xml:space="default">0.048711</w:t>
                  </w:r>
                </w:p>
              </w:tc>
              <w:tc>
                <w:tcPr>
                  <w:tcBorders>
                    <w:top w:val="single" w:space="0" w:color="D3D3D3"/>
                    <w:bottom w:val="single" w:space="0" w:color="D3D3D3"/>
                    <w:start w:val="single" w:space="0" w:color="D3D3D3"/>
                    <w:end w:val="single" w:space="0" w:color="D3D3D3"/>
                  </w:tcBorders>
                  <w:shd w:val="clear" w:color="auto" w:fill="FF6A00"/>
                </w:tcPr>
                <w:p>
                  <w:pPr>
                    <w:spacing w:before="0" w:after="60"/>
                    <w:keepNext/>
                    <w:jc w:val="end"/>
                  </w:pPr>
                  <w:r>
                    <w:rPr>
                      <w:rFonts w:ascii="Calibri" w:hAnsi="Calibri"/>
                      <w:sz w:val="small"/>
                      <w:color w:val="FFFFFF"/>
                    </w:rPr>
                    <w:t xml:space="default">0.000456</w:t>
                  </w:r>
                </w:p>
              </w:tc>
              <w:tc>
                <w:tcPr>
                  <w:tcBorders>
                    <w:top w:val="single" w:space="0" w:color="D3D3D3"/>
                    <w:bottom w:val="single" w:space="0" w:color="D3D3D3"/>
                    <w:start w:val="single" w:space="0" w:color="D3D3D3"/>
                    <w:end w:val="single" w:space="0" w:color="D3D3D3"/>
                  </w:tcBorders>
                  <w:shd w:val="clear" w:color="auto" w:fill="006400"/>
                </w:tcPr>
                <w:p>
                  <w:pPr>
                    <w:spacing w:before="0" w:after="60"/>
                    <w:keepNext/>
                    <w:jc w:val="end"/>
                  </w:pPr>
                  <w:r>
                    <w:rPr>
                      <w:rFonts w:ascii="Calibri" w:hAnsi="Calibri"/>
                      <w:sz w:val="small"/>
                      <w:color w:val="FFFFFF"/>
                    </w:rPr>
                    <w:t xml:space="default">1.000000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small"/>
                    </w:rPr>
                    <w:t xml:space="default">eb_ats</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small"/>
                    </w:rPr>
                    <w:t xml:space="default">TRUE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small"/>
                    </w:rPr>
                    <w:t xml:space="default">19</w:t>
                  </w:r>
                </w:p>
              </w:tc>
              <w:tc>
                <w:tcPr>
                  <w:tcBorders>
                    <w:top w:val="single" w:space="0" w:color="D3D3D3"/>
                    <w:bottom w:val="single" w:space="0" w:color="D3D3D3"/>
                    <w:start w:val="single" w:space="0" w:color="D3D3D3"/>
                    <w:end w:val="single" w:space="0" w:color="D3D3D3"/>
                  </w:tcBorders>
                  <w:shd w:val="clear" w:color="auto" w:fill="EFF7FA"/>
                </w:tcPr>
                <w:p>
                  <w:pPr>
                    <w:spacing w:before="0" w:after="60"/>
                    <w:keepNext/>
                    <w:jc w:val="end"/>
                  </w:pPr>
                  <w:r>
                    <w:rPr>
                      <w:rFonts w:ascii="Calibri" w:hAnsi="Calibri"/>
                      <w:sz w:val="small"/>
                      <w:color w:val="000000"/>
                    </w:rPr>
                    <w:t xml:space="default">0.004863</w:t>
                  </w:r>
                </w:p>
              </w:tc>
              <w:tc>
                <w:tcPr>
                  <w:tcBorders>
                    <w:top w:val="single" w:space="0" w:color="D3D3D3"/>
                    <w:bottom w:val="single" w:space="0" w:color="D3D3D3"/>
                    <w:start w:val="single" w:space="0" w:color="D3D3D3"/>
                    <w:end w:val="single" w:space="0" w:color="D3D3D3"/>
                  </w:tcBorders>
                  <w:shd w:val="clear" w:color="auto" w:fill="FFFF0F"/>
                </w:tcPr>
                <w:p>
                  <w:pPr>
                    <w:spacing w:before="0" w:after="60"/>
                    <w:keepNext/>
                    <w:jc w:val="end"/>
                  </w:pPr>
                  <w:r>
                    <w:rPr>
                      <w:rFonts w:ascii="Calibri" w:hAnsi="Calibri"/>
                      <w:sz w:val="small"/>
                      <w:color w:val="000000"/>
                    </w:rPr>
                    <w:t xml:space="default">0.000244</w:t>
                  </w:r>
                </w:p>
              </w:tc>
              <w:tc>
                <w:tcPr>
                  <w:tcBorders>
                    <w:top w:val="single" w:space="0" w:color="D3D3D3"/>
                    <w:bottom w:val="single" w:space="0" w:color="D3D3D3"/>
                    <w:start w:val="single" w:space="0" w:color="D3D3D3"/>
                    <w:end w:val="single" w:space="0" w:color="D3D3D3"/>
                  </w:tcBorders>
                  <w:shd w:val="clear" w:color="auto" w:fill="006400"/>
                </w:tcPr>
                <w:p>
                  <w:pPr>
                    <w:spacing w:before="0" w:after="60"/>
                    <w:keepNext/>
                    <w:jc w:val="end"/>
                  </w:pPr>
                  <w:r>
                    <w:rPr>
                      <w:rFonts w:ascii="Calibri" w:hAnsi="Calibri"/>
                      <w:sz w:val="small"/>
                      <w:color w:val="FFFFFF"/>
                    </w:rPr>
                    <w:t xml:space="default">1.000000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small"/>
                    </w:rPr>
                    <w:t xml:space="default">sel_fsh</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small"/>
                    </w:rPr>
                    <w:t xml:space="default">TRUE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small"/>
                    </w:rPr>
                    <w:t xml:space="default">915</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small"/>
                      <w:color w:val="000000"/>
                    </w:rPr>
                    <w:t xml:space="default">0.000005</w:t>
                  </w:r>
                </w:p>
              </w:tc>
              <w:tc>
                <w:tcPr>
                  <w:tcBorders>
                    <w:top w:val="single" w:space="0" w:color="D3D3D3"/>
                    <w:bottom w:val="single" w:space="0" w:color="D3D3D3"/>
                    <w:start w:val="single" w:space="0" w:color="D3D3D3"/>
                    <w:end w:val="single" w:space="0" w:color="D3D3D3"/>
                  </w:tcBorders>
                  <w:shd w:val="clear" w:color="auto" w:fill="FF4500"/>
                </w:tcPr>
                <w:p>
                  <w:pPr>
                    <w:spacing w:before="0" w:after="60"/>
                    <w:keepNext/>
                    <w:jc w:val="end"/>
                  </w:pPr>
                  <w:r>
                    <w:rPr>
                      <w:rFonts w:ascii="Calibri" w:hAnsi="Calibri"/>
                      <w:sz w:val="small"/>
                      <w:color w:val="FFFFFF"/>
                    </w:rPr>
                    <w:t xml:space="default">0.000493</w:t>
                  </w:r>
                </w:p>
              </w:tc>
              <w:tc>
                <w:tcPr>
                  <w:tcBorders>
                    <w:top w:val="single" w:space="0" w:color="D3D3D3"/>
                    <w:bottom w:val="single" w:space="0" w:color="D3D3D3"/>
                    <w:start w:val="single" w:space="0" w:color="D3D3D3"/>
                    <w:end w:val="single" w:space="0" w:color="D3D3D3"/>
                  </w:tcBorders>
                  <w:shd w:val="clear" w:color="auto" w:fill="006400"/>
                </w:tcPr>
                <w:p>
                  <w:pPr>
                    <w:spacing w:before="0" w:after="60"/>
                    <w:keepNext/>
                    <w:jc w:val="end"/>
                  </w:pPr>
                  <w:r>
                    <w:rPr>
                      <w:rFonts w:ascii="Calibri" w:hAnsi="Calibri"/>
                      <w:sz w:val="small"/>
                      <w:color w:val="FFFFFF"/>
                    </w:rPr>
                    <w:t xml:space="default">1.000000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small"/>
                    </w:rPr>
                    <w:t xml:space="default">sel_bts</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small"/>
                    </w:rPr>
                    <w:t xml:space="default">TRUE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small"/>
                    </w:rPr>
                    <w:t xml:space="default">645</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small"/>
                      <w:color w:val="000000"/>
                    </w:rPr>
                    <w:t xml:space="default">0.000000</w:t>
                  </w:r>
                </w:p>
              </w:tc>
              <w:tc>
                <w:tcPr>
                  <w:tcBorders>
                    <w:top w:val="single" w:space="0" w:color="D3D3D3"/>
                    <w:bottom w:val="single" w:space="0" w:color="D3D3D3"/>
                    <w:start w:val="single" w:space="0" w:color="D3D3D3"/>
                    <w:end w:val="single" w:space="0" w:color="D3D3D3"/>
                  </w:tcBorders>
                  <w:shd w:val="clear" w:color="auto" w:fill="FF9600"/>
                </w:tcPr>
                <w:p>
                  <w:pPr>
                    <w:spacing w:before="0" w:after="60"/>
                    <w:keepNext/>
                    <w:jc w:val="end"/>
                  </w:pPr>
                  <w:r>
                    <w:rPr>
                      <w:rFonts w:ascii="Calibri" w:hAnsi="Calibri"/>
                      <w:sz w:val="small"/>
                      <w:color w:val="000000"/>
                    </w:rPr>
                    <w:t xml:space="default">0.000400</w:t>
                  </w:r>
                </w:p>
              </w:tc>
              <w:tc>
                <w:tcPr>
                  <w:tcBorders>
                    <w:top w:val="single" w:space="0" w:color="D3D3D3"/>
                    <w:bottom w:val="single" w:space="0" w:color="D3D3D3"/>
                    <w:start w:val="single" w:space="0" w:color="D3D3D3"/>
                    <w:end w:val="single" w:space="0" w:color="D3D3D3"/>
                  </w:tcBorders>
                  <w:shd w:val="clear" w:color="auto" w:fill="006400"/>
                </w:tcPr>
                <w:p>
                  <w:pPr>
                    <w:spacing w:before="0" w:after="60"/>
                    <w:keepNext/>
                    <w:jc w:val="end"/>
                  </w:pPr>
                  <w:r>
                    <w:rPr>
                      <w:rFonts w:ascii="Calibri" w:hAnsi="Calibri"/>
                      <w:sz w:val="small"/>
                      <w:color w:val="FFFFFF"/>
                    </w:rPr>
                    <w:t xml:space="default">1.000000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small"/>
                    </w:rPr>
                    <w:t xml:space="default">sel_ats</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small"/>
                    </w:rPr>
                    <w:t xml:space="default">TRUE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small"/>
                    </w:rPr>
                    <w:t xml:space="default">465</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small"/>
                      <w:color w:val="000000"/>
                    </w:rPr>
                    <w:t xml:space="default">0.000005</w:t>
                  </w:r>
                </w:p>
              </w:tc>
              <w:tc>
                <w:tcPr>
                  <w:tcBorders>
                    <w:top w:val="single" w:space="0" w:color="D3D3D3"/>
                    <w:bottom w:val="single" w:space="0" w:color="D3D3D3"/>
                    <w:start w:val="single" w:space="0" w:color="D3D3D3"/>
                    <w:end w:val="single" w:space="0" w:color="D3D3D3"/>
                  </w:tcBorders>
                  <w:shd w:val="clear" w:color="auto" w:fill="FF5C00"/>
                </w:tcPr>
                <w:p>
                  <w:pPr>
                    <w:spacing w:before="0" w:after="60"/>
                    <w:keepNext/>
                    <w:jc w:val="end"/>
                  </w:pPr>
                  <w:r>
                    <w:rPr>
                      <w:rFonts w:ascii="Calibri" w:hAnsi="Calibri"/>
                      <w:sz w:val="small"/>
                      <w:color w:val="FFFFFF"/>
                    </w:rPr>
                    <w:t xml:space="default">0.000471</w:t>
                  </w:r>
                </w:p>
              </w:tc>
              <w:tc>
                <w:tcPr>
                  <w:tcBorders>
                    <w:top w:val="single" w:space="0" w:color="D3D3D3"/>
                    <w:bottom w:val="single" w:space="0" w:color="D3D3D3"/>
                    <w:start w:val="single" w:space="0" w:color="D3D3D3"/>
                    <w:end w:val="single" w:space="0" w:color="D3D3D3"/>
                  </w:tcBorders>
                  <w:shd w:val="clear" w:color="auto" w:fill="006400"/>
                </w:tcPr>
                <w:p>
                  <w:pPr>
                    <w:spacing w:before="0" w:after="60"/>
                    <w:keepNext/>
                    <w:jc w:val="end"/>
                  </w:pPr>
                  <w:r>
                    <w:rPr>
                      <w:rFonts w:ascii="Calibri" w:hAnsi="Calibri"/>
                      <w:sz w:val="small"/>
                      <w:color w:val="FFFFFF"/>
                    </w:rPr>
                    <w:t xml:space="default">1.000000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small"/>
                    </w:rPr>
                    <w:t xml:space="default">sam_fsh</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small"/>
                    </w:rPr>
                    <w:t xml:space="default">TRUE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small"/>
                    </w:rPr>
                    <w:t xml:space="default">60</w:t>
                  </w:r>
                </w:p>
              </w:tc>
              <w:tc>
                <w:tcPr>
                  <w:tcBorders>
                    <w:top w:val="single" w:space="0" w:color="D3D3D3"/>
                    <w:bottom w:val="single" w:space="0" w:color="D3D3D3"/>
                    <w:start w:val="single" w:space="0" w:color="D3D3D3"/>
                    <w:end w:val="single" w:space="0" w:color="D3D3D3"/>
                  </w:tcBorders>
                  <w:shd w:val="clear" w:color="auto" w:fill="FDFEFE"/>
                </w:tcPr>
                <w:p>
                  <w:pPr>
                    <w:spacing w:before="0" w:after="60"/>
                    <w:keepNext/>
                    <w:jc w:val="end"/>
                  </w:pPr>
                  <w:r>
                    <w:rPr>
                      <w:rFonts w:ascii="Calibri" w:hAnsi="Calibri"/>
                      <w:sz w:val="small"/>
                      <w:color w:val="000000"/>
                    </w:rPr>
                    <w:t xml:space="default">0.000499</w:t>
                  </w:r>
                </w:p>
              </w:tc>
              <w:tc>
                <w:tcPr>
                  <w:tcBorders>
                    <w:top w:val="single" w:space="0" w:color="D3D3D3"/>
                    <w:bottom w:val="single" w:space="0" w:color="D3D3D3"/>
                    <w:start w:val="single" w:space="0" w:color="D3D3D3"/>
                    <w:end w:val="single" w:space="0" w:color="D3D3D3"/>
                  </w:tcBorders>
                  <w:shd w:val="clear" w:color="auto" w:fill="FFFF94"/>
                </w:tcPr>
                <w:p>
                  <w:pPr>
                    <w:spacing w:before="0" w:after="60"/>
                    <w:keepNext/>
                    <w:jc w:val="end"/>
                  </w:pPr>
                  <w:r>
                    <w:rPr>
                      <w:rFonts w:ascii="Calibri" w:hAnsi="Calibri"/>
                      <w:sz w:val="small"/>
                      <w:color w:val="000000"/>
                    </w:rPr>
                    <w:t xml:space="default">0.000134</w:t>
                  </w:r>
                </w:p>
              </w:tc>
              <w:tc>
                <w:tcPr>
                  <w:tcBorders>
                    <w:top w:val="single" w:space="0" w:color="D3D3D3"/>
                    <w:bottom w:val="single" w:space="0" w:color="D3D3D3"/>
                    <w:start w:val="single" w:space="0" w:color="D3D3D3"/>
                    <w:end w:val="single" w:space="0" w:color="D3D3D3"/>
                  </w:tcBorders>
                  <w:shd w:val="clear" w:color="auto" w:fill="006400"/>
                </w:tcPr>
                <w:p>
                  <w:pPr>
                    <w:spacing w:before="0" w:after="60"/>
                    <w:keepNext/>
                    <w:jc w:val="end"/>
                  </w:pPr>
                  <w:r>
                    <w:rPr>
                      <w:rFonts w:ascii="Calibri" w:hAnsi="Calibri"/>
                      <w:sz w:val="small"/>
                      <w:color w:val="FFFFFF"/>
                    </w:rPr>
                    <w:t xml:space="default">1.000000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small"/>
                    </w:rPr>
                    <w:t xml:space="default">sam_bts</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small"/>
                    </w:rPr>
                    <w:t xml:space="default">TRUE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small"/>
                    </w:rPr>
                    <w:t xml:space="default">42</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small"/>
                      <w:color w:val="000000"/>
                    </w:rPr>
                    <w:t xml:space="default">0.000000</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small"/>
                      <w:color w:val="000000"/>
                    </w:rPr>
                    <w:t xml:space="default">0.000000</w:t>
                  </w:r>
                </w:p>
              </w:tc>
              <w:tc>
                <w:tcPr>
                  <w:tcBorders>
                    <w:top w:val="single" w:space="0" w:color="D3D3D3"/>
                    <w:bottom w:val="single" w:space="0" w:color="D3D3D3"/>
                    <w:start w:val="single" w:space="0" w:color="D3D3D3"/>
                    <w:end w:val="single" w:space="0" w:color="D3D3D3"/>
                  </w:tcBorders>
                  <w:shd w:val="clear" w:color="auto" w:fill="006400"/>
                </w:tcPr>
                <w:p>
                  <w:pPr>
                    <w:spacing w:before="0" w:after="60"/>
                    <w:keepNext/>
                    <w:jc w:val="end"/>
                  </w:pPr>
                  <w:r>
                    <w:rPr>
                      <w:rFonts w:ascii="Calibri" w:hAnsi="Calibri"/>
                      <w:sz w:val="small"/>
                      <w:color w:val="FFFFFF"/>
                    </w:rPr>
                    <w:t xml:space="default">1.000000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small"/>
                    </w:rPr>
                    <w:t xml:space="default">sam_ats</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small"/>
                    </w:rPr>
                    <w:t xml:space="default">TRUE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small"/>
                    </w:rPr>
                    <w:t xml:space="default">19</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small"/>
                      <w:color w:val="000000"/>
                    </w:rPr>
                    <w:t xml:space="default">0.000000</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small"/>
                      <w:color w:val="000000"/>
                    </w:rPr>
                    <w:t xml:space="default">0.000000</w:t>
                  </w:r>
                </w:p>
              </w:tc>
              <w:tc>
                <w:tcPr>
                  <w:tcBorders>
                    <w:top w:val="single" w:space="0" w:color="D3D3D3"/>
                    <w:bottom w:val="single" w:space="0" w:color="D3D3D3"/>
                    <w:start w:val="single" w:space="0" w:color="D3D3D3"/>
                    <w:end w:val="single" w:space="0" w:color="D3D3D3"/>
                  </w:tcBorders>
                  <w:shd w:val="clear" w:color="auto" w:fill="006400"/>
                </w:tcPr>
                <w:p>
                  <w:pPr>
                    <w:spacing w:before="0" w:after="60"/>
                    <w:keepNext/>
                    <w:jc w:val="end"/>
                  </w:pPr>
                  <w:r>
                    <w:rPr>
                      <w:rFonts w:ascii="Calibri" w:hAnsi="Calibri"/>
                      <w:sz w:val="small"/>
                      <w:color w:val="FFFFFF"/>
                    </w:rPr>
                    <w:t xml:space="default">1.000000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small"/>
                    </w:rPr>
                    <w:t xml:space="default">phat_fsh</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small"/>
                    </w:rPr>
                    <w:t xml:space="default">TRUE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small"/>
                    </w:rPr>
                    <w:t xml:space="default">900</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small"/>
                      <w:color w:val="000000"/>
                    </w:rPr>
                    <w:t xml:space="default">0.000000</w:t>
                  </w:r>
                </w:p>
              </w:tc>
              <w:tc>
                <w:tcPr>
                  <w:tcBorders>
                    <w:top w:val="single" w:space="0" w:color="D3D3D3"/>
                    <w:bottom w:val="single" w:space="0" w:color="D3D3D3"/>
                    <w:start w:val="single" w:space="0" w:color="D3D3D3"/>
                    <w:end w:val="single" w:space="0" w:color="D3D3D3"/>
                  </w:tcBorders>
                  <w:shd w:val="clear" w:color="auto" w:fill="FF5100"/>
                </w:tcPr>
                <w:p>
                  <w:pPr>
                    <w:spacing w:before="0" w:after="60"/>
                    <w:keepNext/>
                    <w:jc w:val="end"/>
                  </w:pPr>
                  <w:r>
                    <w:rPr>
                      <w:rFonts w:ascii="Calibri" w:hAnsi="Calibri"/>
                      <w:sz w:val="small"/>
                      <w:color w:val="FFFFFF"/>
                    </w:rPr>
                    <w:t xml:space="default">0.000482</w:t>
                  </w:r>
                </w:p>
              </w:tc>
              <w:tc>
                <w:tcPr>
                  <w:tcBorders>
                    <w:top w:val="single" w:space="0" w:color="D3D3D3"/>
                    <w:bottom w:val="single" w:space="0" w:color="D3D3D3"/>
                    <w:start w:val="single" w:space="0" w:color="D3D3D3"/>
                    <w:end w:val="single" w:space="0" w:color="D3D3D3"/>
                  </w:tcBorders>
                  <w:shd w:val="clear" w:color="auto" w:fill="006400"/>
                </w:tcPr>
                <w:p>
                  <w:pPr>
                    <w:spacing w:before="0" w:after="60"/>
                    <w:keepNext/>
                    <w:jc w:val="end"/>
                  </w:pPr>
                  <w:r>
                    <w:rPr>
                      <w:rFonts w:ascii="Calibri" w:hAnsi="Calibri"/>
                      <w:sz w:val="small"/>
                      <w:color w:val="FFFFFF"/>
                    </w:rPr>
                    <w:t xml:space="default">1.000000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small"/>
                    </w:rPr>
                    <w:t xml:space="default">phat_bts</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small"/>
                    </w:rPr>
                    <w:t xml:space="default">TRUE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small"/>
                    </w:rPr>
                    <w:t xml:space="default">630</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small"/>
                      <w:color w:val="000000"/>
                    </w:rPr>
                    <w:t xml:space="default">0.000000</w:t>
                  </w:r>
                </w:p>
              </w:tc>
              <w:tc>
                <w:tcPr>
                  <w:tcBorders>
                    <w:top w:val="single" w:space="0" w:color="D3D3D3"/>
                    <w:bottom w:val="single" w:space="0" w:color="D3D3D3"/>
                    <w:start w:val="single" w:space="0" w:color="D3D3D3"/>
                    <w:end w:val="single" w:space="0" w:color="D3D3D3"/>
                  </w:tcBorders>
                  <w:shd w:val="clear" w:color="auto" w:fill="FF5E00"/>
                </w:tcPr>
                <w:p>
                  <w:pPr>
                    <w:spacing w:before="0" w:after="60"/>
                    <w:keepNext/>
                    <w:jc w:val="end"/>
                  </w:pPr>
                  <w:r>
                    <w:rPr>
                      <w:rFonts w:ascii="Calibri" w:hAnsi="Calibri"/>
                      <w:sz w:val="small"/>
                      <w:color w:val="FFFFFF"/>
                    </w:rPr>
                    <w:t xml:space="default">0.000469</w:t>
                  </w:r>
                </w:p>
              </w:tc>
              <w:tc>
                <w:tcPr>
                  <w:tcBorders>
                    <w:top w:val="single" w:space="0" w:color="D3D3D3"/>
                    <w:bottom w:val="single" w:space="0" w:color="D3D3D3"/>
                    <w:start w:val="single" w:space="0" w:color="D3D3D3"/>
                    <w:end w:val="single" w:space="0" w:color="D3D3D3"/>
                  </w:tcBorders>
                  <w:shd w:val="clear" w:color="auto" w:fill="006400"/>
                </w:tcPr>
                <w:p>
                  <w:pPr>
                    <w:spacing w:before="0" w:after="60"/>
                    <w:keepNext/>
                    <w:jc w:val="end"/>
                  </w:pPr>
                  <w:r>
                    <w:rPr>
                      <w:rFonts w:ascii="Calibri" w:hAnsi="Calibri"/>
                      <w:sz w:val="small"/>
                      <w:color w:val="FFFFFF"/>
                    </w:rPr>
                    <w:t xml:space="default">1.000000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small"/>
                    </w:rPr>
                    <w:t xml:space="default">phat_ats</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small"/>
                    </w:rPr>
                    <w:t xml:space="default">TRUE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small"/>
                    </w:rPr>
                    <w:t xml:space="default">285</w:t>
                  </w:r>
                </w:p>
              </w:tc>
              <w:tc>
                <w:tcPr>
                  <w:tcBorders>
                    <w:top w:val="single" w:space="0" w:color="D3D3D3"/>
                    <w:bottom w:val="single" w:space="0" w:color="D3D3D3"/>
                    <w:start w:val="single" w:space="0" w:color="D3D3D3"/>
                    <w:end w:val="single" w:space="0" w:color="D3D3D3"/>
                  </w:tcBorders>
                  <w:shd w:val="clear" w:color="auto" w:fill="EFF7FA"/>
                </w:tcPr>
                <w:p>
                  <w:pPr>
                    <w:spacing w:before="0" w:after="60"/>
                    <w:keepNext/>
                    <w:jc w:val="end"/>
                  </w:pPr>
                  <w:r>
                    <w:rPr>
                      <w:rFonts w:ascii="Calibri" w:hAnsi="Calibri"/>
                      <w:sz w:val="small"/>
                      <w:color w:val="000000"/>
                    </w:rPr>
                    <w:t xml:space="default">0.004855</w:t>
                  </w:r>
                </w:p>
              </w:tc>
              <w:tc>
                <w:tcPr>
                  <w:tcBorders>
                    <w:top w:val="single" w:space="0" w:color="D3D3D3"/>
                    <w:bottom w:val="single" w:space="0" w:color="D3D3D3"/>
                    <w:start w:val="single" w:space="0" w:color="D3D3D3"/>
                    <w:end w:val="single" w:space="0" w:color="D3D3D3"/>
                  </w:tcBorders>
                  <w:shd w:val="clear" w:color="auto" w:fill="FF7500"/>
                </w:tcPr>
                <w:p>
                  <w:pPr>
                    <w:spacing w:before="0" w:after="60"/>
                    <w:keepNext/>
                    <w:jc w:val="end"/>
                  </w:pPr>
                  <w:r>
                    <w:rPr>
                      <w:rFonts w:ascii="Calibri" w:hAnsi="Calibri"/>
                      <w:sz w:val="small"/>
                      <w:color w:val="FFFFFF"/>
                    </w:rPr>
                    <w:t xml:space="default">0.000443</w:t>
                  </w:r>
                </w:p>
              </w:tc>
              <w:tc>
                <w:tcPr>
                  <w:tcBorders>
                    <w:top w:val="single" w:space="0" w:color="D3D3D3"/>
                    <w:bottom w:val="single" w:space="0" w:color="D3D3D3"/>
                    <w:start w:val="single" w:space="0" w:color="D3D3D3"/>
                    <w:end w:val="single" w:space="0" w:color="D3D3D3"/>
                  </w:tcBorders>
                  <w:shd w:val="clear" w:color="auto" w:fill="006400"/>
                </w:tcPr>
                <w:p>
                  <w:pPr>
                    <w:spacing w:before="0" w:after="60"/>
                    <w:keepNext/>
                    <w:jc w:val="end"/>
                  </w:pPr>
                  <w:r>
                    <w:rPr>
                      <w:rFonts w:ascii="Calibri" w:hAnsi="Calibri"/>
                      <w:sz w:val="small"/>
                      <w:color w:val="FFFFFF"/>
                    </w:rPr>
                    <w:t xml:space="default">1.000000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small"/>
                    </w:rPr>
                    <w:t xml:space="default">age_like</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small"/>
                    </w:rPr>
                    <w:t xml:space="default">TRUE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small"/>
                    </w:rPr>
                    <w:t xml:space="default">3</w:t>
                  </w:r>
                </w:p>
              </w:tc>
              <w:tc>
                <w:tcPr>
                  <w:tcBorders>
                    <w:top w:val="single" w:space="0" w:color="D3D3D3"/>
                    <w:bottom w:val="single" w:space="0" w:color="D3D3D3"/>
                    <w:start w:val="single" w:space="0" w:color="D3D3D3"/>
                    <w:end w:val="single" w:space="0" w:color="D3D3D3"/>
                  </w:tcBorders>
                  <w:shd w:val="clear" w:color="auto" w:fill="FCFDFE"/>
                </w:tcPr>
                <w:p>
                  <w:pPr>
                    <w:spacing w:before="0" w:after="60"/>
                    <w:keepNext/>
                    <w:jc w:val="end"/>
                  </w:pPr>
                  <w:r>
                    <w:rPr>
                      <w:rFonts w:ascii="Calibri" w:hAnsi="Calibri"/>
                      <w:sz w:val="small"/>
                      <w:color w:val="000000"/>
                    </w:rPr>
                    <w:t xml:space="default">0.001047</w:t>
                  </w:r>
                </w:p>
              </w:tc>
              <w:tc>
                <w:tcPr>
                  <w:tcBorders>
                    <w:top w:val="single" w:space="0" w:color="D3D3D3"/>
                    <w:bottom w:val="single" w:space="0" w:color="D3D3D3"/>
                    <w:start w:val="single" w:space="0" w:color="D3D3D3"/>
                    <w:end w:val="single" w:space="0" w:color="D3D3D3"/>
                  </w:tcBorders>
                  <w:shd w:val="clear" w:color="auto" w:fill="FFFF59"/>
                </w:tcPr>
                <w:p>
                  <w:pPr>
                    <w:spacing w:before="0" w:after="60"/>
                    <w:keepNext/>
                    <w:jc w:val="end"/>
                  </w:pPr>
                  <w:r>
                    <w:rPr>
                      <w:rFonts w:ascii="Calibri" w:hAnsi="Calibri"/>
                      <w:sz w:val="small"/>
                      <w:color w:val="000000"/>
                    </w:rPr>
                    <w:t xml:space="default">0.000198</w:t>
                  </w:r>
                </w:p>
              </w:tc>
              <w:tc>
                <w:tcPr>
                  <w:tcBorders>
                    <w:top w:val="single" w:space="0" w:color="D3D3D3"/>
                    <w:bottom w:val="single" w:space="0" w:color="D3D3D3"/>
                    <w:start w:val="single" w:space="0" w:color="D3D3D3"/>
                    <w:end w:val="single" w:space="0" w:color="D3D3D3"/>
                  </w:tcBorders>
                  <w:shd w:val="clear" w:color="auto" w:fill="006400"/>
                </w:tcPr>
                <w:p>
                  <w:pPr>
                    <w:spacing w:before="0" w:after="60"/>
                    <w:keepNext/>
                    <w:jc w:val="end"/>
                  </w:pPr>
                  <w:r>
                    <w:rPr>
                      <w:rFonts w:ascii="Calibri" w:hAnsi="Calibri"/>
                      <w:sz w:val="small"/>
                      <w:color w:val="FFFFFF"/>
                    </w:rPr>
                    <w:t xml:space="default">1.000000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small"/>
                    </w:rPr>
                    <w:t xml:space="default">age_like_offset</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small"/>
                    </w:rPr>
                    <w:t xml:space="default">TRUE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small"/>
                    </w:rPr>
                    <w:t xml:space="default">3</w:t>
                  </w:r>
                </w:p>
              </w:tc>
              <w:tc>
                <w:tcPr>
                  <w:tcBorders>
                    <w:top w:val="single" w:space="0" w:color="D3D3D3"/>
                    <w:bottom w:val="single" w:space="0" w:color="D3D3D3"/>
                    <w:start w:val="single" w:space="0" w:color="D3D3D3"/>
                    <w:end w:val="single" w:space="0" w:color="D3D3D3"/>
                  </w:tcBorders>
                  <w:shd w:val="clear" w:color="auto" w:fill="635CB2"/>
                </w:tcPr>
                <w:p>
                  <w:pPr>
                    <w:spacing w:before="0" w:after="60"/>
                    <w:keepNext/>
                    <w:jc w:val="end"/>
                  </w:pPr>
                  <w:r>
                    <w:rPr>
                      <w:rFonts w:ascii="Calibri" w:hAnsi="Calibri"/>
                      <w:sz w:val="small"/>
                      <w:color w:val="FFFFFF"/>
                    </w:rPr>
                    <w:t xml:space="default">0.039496</w:t>
                  </w:r>
                </w:p>
              </w:tc>
              <w:tc>
                <w:tcPr>
                  <w:tcBorders>
                    <w:top w:val="single" w:space="0" w:color="D3D3D3"/>
                    <w:bottom w:val="single" w:space="0" w:color="D3D3D3"/>
                    <w:start w:val="single" w:space="0" w:color="D3D3D3"/>
                    <w:end w:val="single" w:space="0" w:color="D3D3D3"/>
                  </w:tcBorders>
                  <w:shd w:val="clear" w:color="auto" w:fill="FFCA00"/>
                </w:tcPr>
                <w:p>
                  <w:pPr>
                    <w:spacing w:before="0" w:after="60"/>
                    <w:keepNext/>
                    <w:jc w:val="end"/>
                  </w:pPr>
                  <w:r>
                    <w:rPr>
                      <w:rFonts w:ascii="Calibri" w:hAnsi="Calibri"/>
                      <w:sz w:val="small"/>
                      <w:color w:val="000000"/>
                    </w:rPr>
                    <w:t xml:space="default">0.000326</w:t>
                  </w:r>
                </w:p>
              </w:tc>
              <w:tc>
                <w:tcPr>
                  <w:tcBorders>
                    <w:top w:val="single" w:space="0" w:color="D3D3D3"/>
                    <w:bottom w:val="single" w:space="0" w:color="D3D3D3"/>
                    <w:start w:val="single" w:space="0" w:color="D3D3D3"/>
                    <w:end w:val="single" w:space="0" w:color="D3D3D3"/>
                  </w:tcBorders>
                  <w:shd w:val="clear" w:color="auto" w:fill="006400"/>
                </w:tcPr>
                <w:p>
                  <w:pPr>
                    <w:spacing w:before="0" w:after="60"/>
                    <w:keepNext/>
                    <w:jc w:val="end"/>
                  </w:pPr>
                  <w:r>
                    <w:rPr>
                      <w:rFonts w:ascii="Calibri" w:hAnsi="Calibri"/>
                      <w:sz w:val="small"/>
                      <w:color w:val="FFFFFF"/>
                    </w:rPr>
                    <w:t xml:space="default">1.000000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small"/>
                    </w:rPr>
                    <w:t xml:space="default">cat_like</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small"/>
                    </w:rPr>
                    <w:t xml:space="default">TRUE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small"/>
                    </w:rPr>
                    <w:t xml:space="default">1</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small"/>
                      <w:color w:val="000000"/>
                    </w:rPr>
                    <w:t xml:space="default">0.000002</w:t>
                  </w:r>
                </w:p>
              </w:tc>
              <w:tc>
                <w:tcPr>
                  <w:tcBorders>
                    <w:top w:val="single" w:space="0" w:color="D3D3D3"/>
                    <w:bottom w:val="single" w:space="0" w:color="D3D3D3"/>
                    <w:start w:val="single" w:space="0" w:color="D3D3D3"/>
                    <w:end w:val="single" w:space="0" w:color="D3D3D3"/>
                  </w:tcBorders>
                  <w:shd w:val="clear" w:color="auto" w:fill="FFFFD2"/>
                </w:tcPr>
                <w:p>
                  <w:pPr>
                    <w:spacing w:before="0" w:after="60"/>
                    <w:keepNext/>
                    <w:jc w:val="end"/>
                  </w:pPr>
                  <w:r>
                    <w:rPr>
                      <w:rFonts w:ascii="Calibri" w:hAnsi="Calibri"/>
                      <w:sz w:val="small"/>
                      <w:color w:val="000000"/>
                    </w:rPr>
                    <w:t xml:space="default">0.000057</w:t>
                  </w:r>
                </w:p>
              </w:tc>
              <w:tc>
                <w:tcPr>
                  <w:tcBorders>
                    <w:top w:val="single" w:space="0" w:color="D3D3D3"/>
                    <w:bottom w:val="single" w:space="0" w:color="D3D3D3"/>
                    <w:start w:val="single" w:space="0" w:color="D3D3D3"/>
                    <w:end w:val="single" w:space="0" w:color="D3D3D3"/>
                  </w:tcBorders>
                  <w:shd w:val="clear" w:color="auto" w:fill="808080"/>
                </w:tcPr>
                <w:p>
                  <w:pPr>
                    <w:spacing w:before="0" w:after="60"/>
                    <w:keepNext/>
                    <w:jc w:val="end"/>
                  </w:pPr>
                  <w:r>
                    <w:rPr>
                      <w:rFonts w:ascii="Calibri" w:hAnsi="Calibri"/>
                      <w:sz w:val="small"/>
                      <w:color w:val="FFFFFF"/>
                    </w:rPr>
                    <w:t xml:space="default">NA</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small"/>
                    </w:rPr>
                    <w:t xml:space="default">bts_like</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small"/>
                    </w:rPr>
                    <w:t xml:space="default">TRUE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small"/>
                    </w:rPr>
                    <w:t xml:space="default">1</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small"/>
                      <w:color w:val="000000"/>
                    </w:rPr>
                    <w:t xml:space="default">0.000014</w:t>
                  </w:r>
                </w:p>
              </w:tc>
              <w:tc>
                <w:tcPr>
                  <w:tcBorders>
                    <w:top w:val="single" w:space="0" w:color="D3D3D3"/>
                    <w:bottom w:val="single" w:space="0" w:color="D3D3D3"/>
                    <w:start w:val="single" w:space="0" w:color="D3D3D3"/>
                    <w:end w:val="single" w:space="0" w:color="D3D3D3"/>
                  </w:tcBorders>
                  <w:shd w:val="clear" w:color="auto" w:fill="FFFFDD"/>
                </w:tcPr>
                <w:p>
                  <w:pPr>
                    <w:spacing w:before="0" w:after="60"/>
                    <w:keepNext/>
                    <w:jc w:val="end"/>
                  </w:pPr>
                  <w:r>
                    <w:rPr>
                      <w:rFonts w:ascii="Calibri" w:hAnsi="Calibri"/>
                      <w:sz w:val="small"/>
                      <w:color w:val="000000"/>
                    </w:rPr>
                    <w:t xml:space="default">0.000043</w:t>
                  </w:r>
                </w:p>
              </w:tc>
              <w:tc>
                <w:tcPr>
                  <w:tcBorders>
                    <w:top w:val="single" w:space="0" w:color="D3D3D3"/>
                    <w:bottom w:val="single" w:space="0" w:color="D3D3D3"/>
                    <w:start w:val="single" w:space="0" w:color="D3D3D3"/>
                    <w:end w:val="single" w:space="0" w:color="D3D3D3"/>
                  </w:tcBorders>
                  <w:shd w:val="clear" w:color="auto" w:fill="808080"/>
                </w:tcPr>
                <w:p>
                  <w:pPr>
                    <w:spacing w:before="0" w:after="60"/>
                    <w:keepNext/>
                    <w:jc w:val="end"/>
                  </w:pPr>
                  <w:r>
                    <w:rPr>
                      <w:rFonts w:ascii="Calibri" w:hAnsi="Calibri"/>
                      <w:sz w:val="small"/>
                      <w:color w:val="FFFFFF"/>
                    </w:rPr>
                    <w:t xml:space="default">NA</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small"/>
                    </w:rPr>
                    <w:t xml:space="default">ats_like</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small"/>
                    </w:rPr>
                    <w:t xml:space="default">TRUE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small"/>
                    </w:rPr>
                    <w:t xml:space="default">1</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small"/>
                      <w:color w:val="000000"/>
                    </w:rPr>
                    <w:t xml:space="default">0.000002</w:t>
                  </w:r>
                </w:p>
              </w:tc>
              <w:tc>
                <w:tcPr>
                  <w:tcBorders>
                    <w:top w:val="single" w:space="0" w:color="D3D3D3"/>
                    <w:bottom w:val="single" w:space="0" w:color="D3D3D3"/>
                    <w:start w:val="single" w:space="0" w:color="D3D3D3"/>
                    <w:end w:val="single" w:space="0" w:color="D3D3D3"/>
                  </w:tcBorders>
                  <w:shd w:val="clear" w:color="auto" w:fill="FFFFF0"/>
                </w:tcPr>
                <w:p>
                  <w:pPr>
                    <w:spacing w:before="0" w:after="60"/>
                    <w:keepNext/>
                    <w:jc w:val="end"/>
                  </w:pPr>
                  <w:r>
                    <w:rPr>
                      <w:rFonts w:ascii="Calibri" w:hAnsi="Calibri"/>
                      <w:sz w:val="small"/>
                      <w:color w:val="000000"/>
                    </w:rPr>
                    <w:t xml:space="default">0.000019</w:t>
                  </w:r>
                </w:p>
              </w:tc>
              <w:tc>
                <w:tcPr>
                  <w:tcBorders>
                    <w:top w:val="single" w:space="0" w:color="D3D3D3"/>
                    <w:bottom w:val="single" w:space="0" w:color="D3D3D3"/>
                    <w:start w:val="single" w:space="0" w:color="D3D3D3"/>
                    <w:end w:val="single" w:space="0" w:color="D3D3D3"/>
                  </w:tcBorders>
                  <w:shd w:val="clear" w:color="auto" w:fill="808080"/>
                </w:tcPr>
                <w:p>
                  <w:pPr>
                    <w:spacing w:before="0" w:after="60"/>
                    <w:keepNext/>
                    <w:jc w:val="end"/>
                  </w:pPr>
                  <w:r>
                    <w:rPr>
                      <w:rFonts w:ascii="Calibri" w:hAnsi="Calibri"/>
                      <w:sz w:val="small"/>
                      <w:color w:val="FFFFFF"/>
                    </w:rPr>
                    <w:t xml:space="default">NA</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small"/>
                    </w:rPr>
                    <w:t xml:space="default">ats_age1_like</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small"/>
                    </w:rPr>
                    <w:t xml:space="default">TRUE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small"/>
                    </w:rPr>
                    <w:t xml:space="default">1</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small"/>
                      <w:color w:val="000000"/>
                    </w:rPr>
                    <w:t xml:space="default">0.000024</w:t>
                  </w:r>
                </w:p>
              </w:tc>
              <w:tc>
                <w:tcPr>
                  <w:tcBorders>
                    <w:top w:val="single" w:space="0" w:color="D3D3D3"/>
                    <w:bottom w:val="single" w:space="0" w:color="D3D3D3"/>
                    <w:start w:val="single" w:space="0" w:color="D3D3D3"/>
                    <w:end w:val="single" w:space="0" w:color="D3D3D3"/>
                  </w:tcBorders>
                  <w:shd w:val="clear" w:color="auto" w:fill="FFFF45"/>
                </w:tcPr>
                <w:p>
                  <w:pPr>
                    <w:spacing w:before="0" w:after="60"/>
                    <w:keepNext/>
                    <w:jc w:val="end"/>
                  </w:pPr>
                  <w:r>
                    <w:rPr>
                      <w:rFonts w:ascii="Calibri" w:hAnsi="Calibri"/>
                      <w:sz w:val="small"/>
                      <w:color w:val="000000"/>
                    </w:rPr>
                    <w:t xml:space="default">0.000216</w:t>
                  </w:r>
                </w:p>
              </w:tc>
              <w:tc>
                <w:tcPr>
                  <w:tcBorders>
                    <w:top w:val="single" w:space="0" w:color="D3D3D3"/>
                    <w:bottom w:val="single" w:space="0" w:color="D3D3D3"/>
                    <w:start w:val="single" w:space="0" w:color="D3D3D3"/>
                    <w:end w:val="single" w:space="0" w:color="D3D3D3"/>
                  </w:tcBorders>
                  <w:shd w:val="clear" w:color="auto" w:fill="808080"/>
                </w:tcPr>
                <w:p>
                  <w:pPr>
                    <w:spacing w:before="0" w:after="60"/>
                    <w:keepNext/>
                    <w:jc w:val="end"/>
                  </w:pPr>
                  <w:r>
                    <w:rPr>
                      <w:rFonts w:ascii="Calibri" w:hAnsi="Calibri"/>
                      <w:sz w:val="small"/>
                      <w:color w:val="FFFFFF"/>
                    </w:rPr>
                    <w:t xml:space="default">NA</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small"/>
                    </w:rPr>
                    <w:t xml:space="default">cpue_like</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small"/>
                    </w:rPr>
                    <w:t xml:space="default">TRUE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small"/>
                    </w:rPr>
                    <w:t xml:space="default">1</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small"/>
                      <w:color w:val="000000"/>
                    </w:rPr>
                    <w:t xml:space="default">0.000003</w:t>
                  </w:r>
                </w:p>
              </w:tc>
              <w:tc>
                <w:tcPr>
                  <w:tcBorders>
                    <w:top w:val="single" w:space="0" w:color="D3D3D3"/>
                    <w:bottom w:val="single" w:space="0" w:color="D3D3D3"/>
                    <w:start w:val="single" w:space="0" w:color="D3D3D3"/>
                    <w:end w:val="single" w:space="0" w:color="D3D3D3"/>
                  </w:tcBorders>
                  <w:shd w:val="clear" w:color="auto" w:fill="FFF300"/>
                </w:tcPr>
                <w:p>
                  <w:pPr>
                    <w:spacing w:before="0" w:after="60"/>
                    <w:keepNext/>
                    <w:jc w:val="end"/>
                  </w:pPr>
                  <w:r>
                    <w:rPr>
                      <w:rFonts w:ascii="Calibri" w:hAnsi="Calibri"/>
                      <w:sz w:val="small"/>
                      <w:color w:val="000000"/>
                    </w:rPr>
                    <w:t xml:space="default">0.000264</w:t>
                  </w:r>
                </w:p>
              </w:tc>
              <w:tc>
                <w:tcPr>
                  <w:tcBorders>
                    <w:top w:val="single" w:space="0" w:color="D3D3D3"/>
                    <w:bottom w:val="single" w:space="0" w:color="D3D3D3"/>
                    <w:start w:val="single" w:space="0" w:color="D3D3D3"/>
                    <w:end w:val="single" w:space="0" w:color="D3D3D3"/>
                  </w:tcBorders>
                  <w:shd w:val="clear" w:color="auto" w:fill="808080"/>
                </w:tcPr>
                <w:p>
                  <w:pPr>
                    <w:spacing w:before="0" w:after="60"/>
                    <w:keepNext/>
                    <w:jc w:val="end"/>
                  </w:pPr>
                  <w:r>
                    <w:rPr>
                      <w:rFonts w:ascii="Calibri" w:hAnsi="Calibri"/>
                      <w:sz w:val="small"/>
                      <w:color w:val="FFFFFF"/>
                    </w:rPr>
                    <w:t xml:space="default">NA</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small"/>
                    </w:rPr>
                    <w:t xml:space="default">avo_like</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small"/>
                    </w:rPr>
                    <w:t xml:space="default">TRUE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small"/>
                    </w:rPr>
                    <w:t xml:space="default">1</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small"/>
                      <w:color w:val="000000"/>
                    </w:rPr>
                    <w:t xml:space="default">0.000000</w:t>
                  </w:r>
                </w:p>
              </w:tc>
              <w:tc>
                <w:tcPr>
                  <w:tcBorders>
                    <w:top w:val="single" w:space="0" w:color="D3D3D3"/>
                    <w:bottom w:val="single" w:space="0" w:color="D3D3D3"/>
                    <w:start w:val="single" w:space="0" w:color="D3D3D3"/>
                    <w:end w:val="single" w:space="0" w:color="D3D3D3"/>
                  </w:tcBorders>
                  <w:shd w:val="clear" w:color="auto" w:fill="FFFFFC"/>
                </w:tcPr>
                <w:p>
                  <w:pPr>
                    <w:spacing w:before="0" w:after="60"/>
                    <w:keepNext/>
                    <w:jc w:val="end"/>
                  </w:pPr>
                  <w:r>
                    <w:rPr>
                      <w:rFonts w:ascii="Calibri" w:hAnsi="Calibri"/>
                      <w:sz w:val="small"/>
                      <w:color w:val="000000"/>
                    </w:rPr>
                    <w:t xml:space="default">0.000004</w:t>
                  </w:r>
                </w:p>
              </w:tc>
              <w:tc>
                <w:tcPr>
                  <w:tcBorders>
                    <w:top w:val="single" w:space="0" w:color="D3D3D3"/>
                    <w:bottom w:val="single" w:space="0" w:color="D3D3D3"/>
                    <w:start w:val="single" w:space="0" w:color="D3D3D3"/>
                    <w:end w:val="single" w:space="0" w:color="D3D3D3"/>
                  </w:tcBorders>
                  <w:shd w:val="clear" w:color="auto" w:fill="808080"/>
                </w:tcPr>
                <w:p>
                  <w:pPr>
                    <w:spacing w:before="0" w:after="60"/>
                    <w:keepNext/>
                    <w:jc w:val="end"/>
                  </w:pPr>
                  <w:r>
                    <w:rPr>
                      <w:rFonts w:ascii="Calibri" w:hAnsi="Calibri"/>
                      <w:sz w:val="small"/>
                      <w:color w:val="FFFFFF"/>
                    </w:rPr>
                    <w:t xml:space="default">NA</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small"/>
                    </w:rPr>
                    <w:t xml:space="default">avgsel_like</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small"/>
                    </w:rPr>
                    <w:t xml:space="default">TRUE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small"/>
                    </w:rPr>
                    <w:t xml:space="default">1</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small"/>
                      <w:color w:val="000000"/>
                    </w:rPr>
                    <w:t xml:space="default">0.000000</w:t>
                  </w:r>
                </w:p>
              </w:tc>
              <w:tc>
                <w:tcPr>
                  <w:tcBorders>
                    <w:top w:val="single" w:space="0" w:color="D3D3D3"/>
                    <w:bottom w:val="single" w:space="0" w:color="D3D3D3"/>
                    <w:start w:val="single" w:space="0" w:color="D3D3D3"/>
                    <w:end w:val="single" w:space="0" w:color="D3D3D3"/>
                  </w:tcBorders>
                  <w:shd w:val="clear" w:color="auto" w:fill="FFFFD0"/>
                </w:tcPr>
                <w:p>
                  <w:pPr>
                    <w:spacing w:before="0" w:after="60"/>
                    <w:keepNext/>
                    <w:jc w:val="end"/>
                  </w:pPr>
                  <w:r>
                    <w:rPr>
                      <w:rFonts w:ascii="Calibri" w:hAnsi="Calibri"/>
                      <w:sz w:val="small"/>
                      <w:color w:val="000000"/>
                    </w:rPr>
                    <w:t xml:space="default">0.000061</w:t>
                  </w:r>
                </w:p>
              </w:tc>
              <w:tc>
                <w:tcPr>
                  <w:tcBorders>
                    <w:top w:val="single" w:space="0" w:color="D3D3D3"/>
                    <w:bottom w:val="single" w:space="0" w:color="D3D3D3"/>
                    <w:start w:val="single" w:space="0" w:color="D3D3D3"/>
                    <w:end w:val="single" w:space="0" w:color="D3D3D3"/>
                  </w:tcBorders>
                  <w:shd w:val="clear" w:color="auto" w:fill="808080"/>
                </w:tcPr>
                <w:p>
                  <w:pPr>
                    <w:spacing w:before="0" w:after="60"/>
                    <w:keepNext/>
                    <w:jc w:val="end"/>
                  </w:pPr>
                  <w:r>
                    <w:rPr>
                      <w:rFonts w:ascii="Calibri" w:hAnsi="Calibri"/>
                      <w:sz w:val="small"/>
                      <w:color w:val="FFFFFF"/>
                    </w:rPr>
                    <w:t xml:space="default">NA</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small"/>
                    </w:rPr>
                    <w:t xml:space="default">wt_nll</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small"/>
                    </w:rPr>
                    <w:t xml:space="default">TRUE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small"/>
                    </w:rPr>
                    <w:t xml:space="default">4</w:t>
                  </w:r>
                </w:p>
              </w:tc>
              <w:tc>
                <w:tcPr>
                  <w:tcBorders>
                    <w:top w:val="single" w:space="0" w:color="D3D3D3"/>
                    <w:bottom w:val="single" w:space="0" w:color="D3D3D3"/>
                    <w:start w:val="single" w:space="0" w:color="D3D3D3"/>
                    <w:end w:val="single" w:space="0" w:color="D3D3D3"/>
                  </w:tcBorders>
                  <w:shd w:val="clear" w:color="auto" w:fill="F2F9FB"/>
                </w:tcPr>
                <w:p>
                  <w:pPr>
                    <w:spacing w:before="0" w:after="60"/>
                    <w:keepNext/>
                    <w:jc w:val="end"/>
                  </w:pPr>
                  <w:r>
                    <w:rPr>
                      <w:rFonts w:ascii="Calibri" w:hAnsi="Calibri"/>
                      <w:sz w:val="small"/>
                      <w:color w:val="000000"/>
                    </w:rPr>
                    <w:t xml:space="default">0.004116</w:t>
                  </w:r>
                </w:p>
              </w:tc>
              <w:tc>
                <w:tcPr>
                  <w:tcBorders>
                    <w:top w:val="single" w:space="0" w:color="D3D3D3"/>
                    <w:bottom w:val="single" w:space="0" w:color="D3D3D3"/>
                    <w:start w:val="single" w:space="0" w:color="D3D3D3"/>
                    <w:end w:val="single" w:space="0" w:color="D3D3D3"/>
                  </w:tcBorders>
                  <w:shd w:val="clear" w:color="auto" w:fill="FFFF78"/>
                </w:tcPr>
                <w:p>
                  <w:pPr>
                    <w:spacing w:before="0" w:after="60"/>
                    <w:keepNext/>
                    <w:jc w:val="end"/>
                  </w:pPr>
                  <w:r>
                    <w:rPr>
                      <w:rFonts w:ascii="Calibri" w:hAnsi="Calibri"/>
                      <w:sz w:val="small"/>
                      <w:color w:val="000000"/>
                    </w:rPr>
                    <w:t xml:space="default">0.000167</w:t>
                  </w:r>
                </w:p>
              </w:tc>
              <w:tc>
                <w:tcPr>
                  <w:tcBorders>
                    <w:top w:val="single" w:space="0" w:color="D3D3D3"/>
                    <w:bottom w:val="single" w:space="0" w:color="D3D3D3"/>
                    <w:start w:val="single" w:space="0" w:color="D3D3D3"/>
                    <w:end w:val="single" w:space="0" w:color="D3D3D3"/>
                  </w:tcBorders>
                  <w:shd w:val="clear" w:color="auto" w:fill="006400"/>
                </w:tcPr>
                <w:p>
                  <w:pPr>
                    <w:spacing w:before="0" w:after="60"/>
                    <w:keepNext/>
                    <w:jc w:val="end"/>
                  </w:pPr>
                  <w:r>
                    <w:rPr>
                      <w:rFonts w:ascii="Calibri" w:hAnsi="Calibri"/>
                      <w:sz w:val="small"/>
                      <w:color w:val="FFFFFF"/>
                    </w:rPr>
                    <w:t xml:space="default">1.000000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small"/>
                    </w:rPr>
                    <w:t xml:space="default">wt_like</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small"/>
                    </w:rPr>
                    <w:t xml:space="default">TRUE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small"/>
                    </w:rPr>
                    <w:t xml:space="default">1</w:t>
                  </w:r>
                </w:p>
              </w:tc>
              <w:tc>
                <w:tcPr>
                  <w:tcBorders>
                    <w:top w:val="single" w:space="0" w:color="D3D3D3"/>
                    <w:bottom w:val="single" w:space="0" w:color="D3D3D3"/>
                    <w:start w:val="single" w:space="0" w:color="D3D3D3"/>
                    <w:end w:val="single" w:space="0" w:color="D3D3D3"/>
                  </w:tcBorders>
                  <w:shd w:val="clear" w:color="auto" w:fill="F0F7FA"/>
                </w:tcPr>
                <w:p>
                  <w:pPr>
                    <w:spacing w:before="0" w:after="60"/>
                    <w:keepNext/>
                    <w:jc w:val="end"/>
                  </w:pPr>
                  <w:r>
                    <w:rPr>
                      <w:rFonts w:ascii="Calibri" w:hAnsi="Calibri"/>
                      <w:sz w:val="small"/>
                      <w:color w:val="000000"/>
                    </w:rPr>
                    <w:t xml:space="default">0.004805</w:t>
                  </w:r>
                </w:p>
              </w:tc>
              <w:tc>
                <w:tcPr>
                  <w:tcBorders>
                    <w:top w:val="single" w:space="0" w:color="D3D3D3"/>
                    <w:bottom w:val="single" w:space="0" w:color="D3D3D3"/>
                    <w:start w:val="single" w:space="0" w:color="D3D3D3"/>
                    <w:end w:val="single" w:space="0" w:color="D3D3D3"/>
                  </w:tcBorders>
                  <w:shd w:val="clear" w:color="auto" w:fill="FFFFC4"/>
                </w:tcPr>
                <w:p>
                  <w:pPr>
                    <w:spacing w:before="0" w:after="60"/>
                    <w:keepNext/>
                    <w:jc w:val="end"/>
                  </w:pPr>
                  <w:r>
                    <w:rPr>
                      <w:rFonts w:ascii="Calibri" w:hAnsi="Calibri"/>
                      <w:sz w:val="small"/>
                      <w:color w:val="000000"/>
                    </w:rPr>
                    <w:t xml:space="default">0.000076</w:t>
                  </w:r>
                </w:p>
              </w:tc>
              <w:tc>
                <w:tcPr>
                  <w:tcBorders>
                    <w:top w:val="single" w:space="0" w:color="D3D3D3"/>
                    <w:bottom w:val="single" w:space="0" w:color="D3D3D3"/>
                    <w:start w:val="single" w:space="0" w:color="D3D3D3"/>
                    <w:end w:val="single" w:space="0" w:color="D3D3D3"/>
                  </w:tcBorders>
                  <w:shd w:val="clear" w:color="auto" w:fill="808080"/>
                </w:tcPr>
                <w:p>
                  <w:pPr>
                    <w:spacing w:before="0" w:after="60"/>
                    <w:keepNext/>
                    <w:jc w:val="end"/>
                  </w:pPr>
                  <w:r>
                    <w:rPr>
                      <w:rFonts w:ascii="Calibri" w:hAnsi="Calibri"/>
                      <w:sz w:val="small"/>
                      <w:color w:val="FFFFFF"/>
                    </w:rPr>
                    <w:t xml:space="default">NA</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small"/>
                    </w:rPr>
                    <w:t xml:space="default">rec_like</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small"/>
                    </w:rPr>
                    <w:t xml:space="default">TRUE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small"/>
                    </w:rPr>
                    <w:t xml:space="default">7</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small"/>
                      <w:color w:val="000000"/>
                    </w:rPr>
                    <w:t xml:space="default">0.000042</w:t>
                  </w:r>
                </w:p>
              </w:tc>
              <w:tc>
                <w:tcPr>
                  <w:tcBorders>
                    <w:top w:val="single" w:space="0" w:color="D3D3D3"/>
                    <w:bottom w:val="single" w:space="0" w:color="D3D3D3"/>
                    <w:start w:val="single" w:space="0" w:color="D3D3D3"/>
                    <w:end w:val="single" w:space="0" w:color="D3D3D3"/>
                  </w:tcBorders>
                  <w:shd w:val="clear" w:color="auto" w:fill="FFFF5B"/>
                </w:tcPr>
                <w:p>
                  <w:pPr>
                    <w:spacing w:before="0" w:after="60"/>
                    <w:keepNext/>
                    <w:jc w:val="end"/>
                  </w:pPr>
                  <w:r>
                    <w:rPr>
                      <w:rFonts w:ascii="Calibri" w:hAnsi="Calibri"/>
                      <w:sz w:val="small"/>
                      <w:color w:val="000000"/>
                    </w:rPr>
                    <w:t xml:space="default">0.000196</w:t>
                  </w:r>
                </w:p>
              </w:tc>
              <w:tc>
                <w:tcPr>
                  <w:tcBorders>
                    <w:top w:val="single" w:space="0" w:color="D3D3D3"/>
                    <w:bottom w:val="single" w:space="0" w:color="D3D3D3"/>
                    <w:start w:val="single" w:space="0" w:color="D3D3D3"/>
                    <w:end w:val="single" w:space="0" w:color="D3D3D3"/>
                  </w:tcBorders>
                  <w:shd w:val="clear" w:color="auto" w:fill="006400"/>
                </w:tcPr>
                <w:p>
                  <w:pPr>
                    <w:spacing w:before="0" w:after="60"/>
                    <w:keepNext/>
                    <w:jc w:val="end"/>
                  </w:pPr>
                  <w:r>
                    <w:rPr>
                      <w:rFonts w:ascii="Calibri" w:hAnsi="Calibri"/>
                      <w:sz w:val="small"/>
                      <w:color w:val="FFFFFF"/>
                    </w:rPr>
                    <w:t xml:space="default">1.000000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small"/>
                    </w:rPr>
                    <w:t xml:space="default">Fpen_like</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small"/>
                    </w:rPr>
                    <w:t xml:space="default">TRUE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small"/>
                    </w:rPr>
                    <w:t xml:space="default">1</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small"/>
                      <w:color w:val="000000"/>
                    </w:rPr>
                    <w:t xml:space="default">0.000001</w:t>
                  </w:r>
                </w:p>
              </w:tc>
              <w:tc>
                <w:tcPr>
                  <w:tcBorders>
                    <w:top w:val="single" w:space="0" w:color="D3D3D3"/>
                    <w:bottom w:val="single" w:space="0" w:color="D3D3D3"/>
                    <w:start w:val="single" w:space="0" w:color="D3D3D3"/>
                    <w:end w:val="single" w:space="0" w:color="D3D3D3"/>
                  </w:tcBorders>
                  <w:shd w:val="clear" w:color="auto" w:fill="FFFFF4"/>
                </w:tcPr>
                <w:p>
                  <w:pPr>
                    <w:spacing w:before="0" w:after="60"/>
                    <w:keepNext/>
                    <w:jc w:val="end"/>
                  </w:pPr>
                  <w:r>
                    <w:rPr>
                      <w:rFonts w:ascii="Calibri" w:hAnsi="Calibri"/>
                      <w:sz w:val="small"/>
                      <w:color w:val="000000"/>
                    </w:rPr>
                    <w:t xml:space="default">0.000015</w:t>
                  </w:r>
                </w:p>
              </w:tc>
              <w:tc>
                <w:tcPr>
                  <w:tcBorders>
                    <w:top w:val="single" w:space="0" w:color="D3D3D3"/>
                    <w:bottom w:val="single" w:space="0" w:color="D3D3D3"/>
                    <w:start w:val="single" w:space="0" w:color="D3D3D3"/>
                    <w:end w:val="single" w:space="0" w:color="D3D3D3"/>
                  </w:tcBorders>
                  <w:shd w:val="clear" w:color="auto" w:fill="808080"/>
                </w:tcPr>
                <w:p>
                  <w:pPr>
                    <w:spacing w:before="0" w:after="60"/>
                    <w:keepNext/>
                    <w:jc w:val="end"/>
                  </w:pPr>
                  <w:r>
                    <w:rPr>
                      <w:rFonts w:ascii="Calibri" w:hAnsi="Calibri"/>
                      <w:sz w:val="small"/>
                      <w:color w:val="FFFFFF"/>
                    </w:rPr>
                    <w:t xml:space="default">NA</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small"/>
                    </w:rPr>
                    <w:t xml:space="default">sel_like</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small"/>
                    </w:rPr>
                    <w:t xml:space="default">TRUE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small"/>
                    </w:rPr>
                    <w:t xml:space="default">3</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small"/>
                      <w:color w:val="000000"/>
                    </w:rPr>
                    <w:t xml:space="default">0.000021</w:t>
                  </w:r>
                </w:p>
              </w:tc>
              <w:tc>
                <w:tcPr>
                  <w:tcBorders>
                    <w:top w:val="single" w:space="0" w:color="D3D3D3"/>
                    <w:bottom w:val="single" w:space="0" w:color="D3D3D3"/>
                    <w:start w:val="single" w:space="0" w:color="D3D3D3"/>
                    <w:end w:val="single" w:space="0" w:color="D3D3D3"/>
                  </w:tcBorders>
                  <w:shd w:val="clear" w:color="auto" w:fill="FFFF9D"/>
                </w:tcPr>
                <w:p>
                  <w:pPr>
                    <w:spacing w:before="0" w:after="60"/>
                    <w:keepNext/>
                    <w:jc w:val="end"/>
                  </w:pPr>
                  <w:r>
                    <w:rPr>
                      <w:rFonts w:ascii="Calibri" w:hAnsi="Calibri"/>
                      <w:sz w:val="small"/>
                      <w:color w:val="000000"/>
                    </w:rPr>
                    <w:t xml:space="default">0.000123</w:t>
                  </w:r>
                </w:p>
              </w:tc>
              <w:tc>
                <w:tcPr>
                  <w:tcBorders>
                    <w:top w:val="single" w:space="0" w:color="D3D3D3"/>
                    <w:bottom w:val="single" w:space="0" w:color="D3D3D3"/>
                    <w:start w:val="single" w:space="0" w:color="D3D3D3"/>
                    <w:end w:val="single" w:space="0" w:color="D3D3D3"/>
                  </w:tcBorders>
                  <w:shd w:val="clear" w:color="auto" w:fill="006400"/>
                </w:tcPr>
                <w:p>
                  <w:pPr>
                    <w:spacing w:before="0" w:after="60"/>
                    <w:keepNext/>
                    <w:jc w:val="end"/>
                  </w:pPr>
                  <w:r>
                    <w:rPr>
                      <w:rFonts w:ascii="Calibri" w:hAnsi="Calibri"/>
                      <w:sz w:val="small"/>
                      <w:color w:val="FFFFFF"/>
                    </w:rPr>
                    <w:t xml:space="default">1.000000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small"/>
                    </w:rPr>
                    <w:t xml:space="default">sel_like_dev</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small"/>
                    </w:rPr>
                    <w:t xml:space="default">TRUE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small"/>
                    </w:rPr>
                    <w:t xml:space="default">3</w:t>
                  </w:r>
                </w:p>
              </w:tc>
              <w:tc>
                <w:tcPr>
                  <w:tcBorders>
                    <w:top w:val="single" w:space="0" w:color="D3D3D3"/>
                    <w:bottom w:val="single" w:space="0" w:color="D3D3D3"/>
                    <w:start w:val="single" w:space="0" w:color="D3D3D3"/>
                    <w:end w:val="single" w:space="0" w:color="D3D3D3"/>
                  </w:tcBorders>
                  <w:shd w:val="clear" w:color="auto" w:fill="FEFEFF"/>
                </w:tcPr>
                <w:p>
                  <w:pPr>
                    <w:spacing w:before="0" w:after="60"/>
                    <w:keepNext/>
                    <w:jc w:val="end"/>
                  </w:pPr>
                  <w:r>
                    <w:rPr>
                      <w:rFonts w:ascii="Calibri" w:hAnsi="Calibri"/>
                      <w:sz w:val="small"/>
                      <w:color w:val="000000"/>
                    </w:rPr>
                    <w:t xml:space="default">0.000464</w:t>
                  </w:r>
                </w:p>
              </w:tc>
              <w:tc>
                <w:tcPr>
                  <w:tcBorders>
                    <w:top w:val="single" w:space="0" w:color="D3D3D3"/>
                    <w:bottom w:val="single" w:space="0" w:color="D3D3D3"/>
                    <w:start w:val="single" w:space="0" w:color="D3D3D3"/>
                    <w:end w:val="single" w:space="0" w:color="D3D3D3"/>
                  </w:tcBorders>
                  <w:shd w:val="clear" w:color="auto" w:fill="FFA800"/>
                </w:tcPr>
                <w:p>
                  <w:pPr>
                    <w:spacing w:before="0" w:after="60"/>
                    <w:keepNext/>
                    <w:jc w:val="end"/>
                  </w:pPr>
                  <w:r>
                    <w:rPr>
                      <w:rFonts w:ascii="Calibri" w:hAnsi="Calibri"/>
                      <w:sz w:val="small"/>
                      <w:color w:val="000000"/>
                    </w:rPr>
                    <w:t xml:space="default">0.000375</w:t>
                  </w:r>
                </w:p>
              </w:tc>
              <w:tc>
                <w:tcPr>
                  <w:tcBorders>
                    <w:top w:val="single" w:space="0" w:color="D3D3D3"/>
                    <w:bottom w:val="single" w:space="0" w:color="D3D3D3"/>
                    <w:start w:val="single" w:space="0" w:color="D3D3D3"/>
                    <w:end w:val="single" w:space="0" w:color="D3D3D3"/>
                  </w:tcBorders>
                  <w:shd w:val="clear" w:color="auto" w:fill="006400"/>
                </w:tcPr>
                <w:p>
                  <w:pPr>
                    <w:spacing w:before="0" w:after="60"/>
                    <w:keepNext/>
                    <w:jc w:val="end"/>
                  </w:pPr>
                  <w:r>
                    <w:rPr>
                      <w:rFonts w:ascii="Calibri" w:hAnsi="Calibri"/>
                      <w:sz w:val="small"/>
                      <w:color w:val="FFFFFF"/>
                    </w:rPr>
                    <w:t xml:space="default">1.000000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small"/>
                    </w:rPr>
                    <w:t xml:space="default">Priors</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small"/>
                    </w:rPr>
                    <w:t xml:space="default">TRUE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small"/>
                    </w:rPr>
                    <w:t xml:space="default">4</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small"/>
                      <w:color w:val="000000"/>
                    </w:rPr>
                    <w:t xml:space="default">0.000024</w:t>
                  </w:r>
                </w:p>
              </w:tc>
              <w:tc>
                <w:tcPr>
                  <w:tcBorders>
                    <w:top w:val="single" w:space="0" w:color="D3D3D3"/>
                    <w:bottom w:val="single" w:space="0" w:color="D3D3D3"/>
                    <w:start w:val="single" w:space="0" w:color="D3D3D3"/>
                    <w:end w:val="single" w:space="0" w:color="D3D3D3"/>
                  </w:tcBorders>
                  <w:shd w:val="clear" w:color="auto" w:fill="FFFFA2"/>
                </w:tcPr>
                <w:p>
                  <w:pPr>
                    <w:spacing w:before="0" w:after="60"/>
                    <w:keepNext/>
                    <w:jc w:val="end"/>
                  </w:pPr>
                  <w:r>
                    <w:rPr>
                      <w:rFonts w:ascii="Calibri" w:hAnsi="Calibri"/>
                      <w:sz w:val="small"/>
                      <w:color w:val="000000"/>
                    </w:rPr>
                    <w:t xml:space="default">0.000118</w:t>
                  </w:r>
                </w:p>
              </w:tc>
              <w:tc>
                <w:tcPr>
                  <w:tcBorders>
                    <w:top w:val="single" w:space="0" w:color="D3D3D3"/>
                    <w:bottom w:val="single" w:space="0" w:color="D3D3D3"/>
                    <w:start w:val="single" w:space="0" w:color="D3D3D3"/>
                    <w:end w:val="single" w:space="0" w:color="D3D3D3"/>
                  </w:tcBorders>
                  <w:shd w:val="clear" w:color="auto" w:fill="006400"/>
                </w:tcPr>
                <w:p>
                  <w:pPr>
                    <w:spacing w:before="0" w:after="60"/>
                    <w:keepNext/>
                    <w:jc w:val="end"/>
                  </w:pPr>
                  <w:r>
                    <w:rPr>
                      <w:rFonts w:ascii="Calibri" w:hAnsi="Calibri"/>
                      <w:sz w:val="small"/>
                      <w:color w:val="FFFFFF"/>
                    </w:rPr>
                    <w:t xml:space="default">1.000000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small"/>
                    </w:rPr>
                    <w:t xml:space="default">tot_like</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small"/>
                    </w:rPr>
                    <w:t xml:space="default">TRUE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small"/>
                    </w:rPr>
                    <w:t xml:space="default">1</w:t>
                  </w:r>
                </w:p>
              </w:tc>
              <w:tc>
                <w:tcPr>
                  <w:tcBorders>
                    <w:top w:val="single" w:space="0" w:color="D3D3D3"/>
                    <w:bottom w:val="single" w:space="0" w:color="D3D3D3"/>
                    <w:start w:val="single" w:space="0" w:color="D3D3D3"/>
                    <w:end w:val="single" w:space="0" w:color="D3D3D3"/>
                  </w:tcBorders>
                  <w:shd w:val="clear" w:color="auto" w:fill="F2F9FB"/>
                </w:tcPr>
                <w:p>
                  <w:pPr>
                    <w:spacing w:before="0" w:after="60"/>
                    <w:keepNext/>
                    <w:jc w:val="end"/>
                  </w:pPr>
                  <w:r>
                    <w:rPr>
                      <w:rFonts w:ascii="Calibri" w:hAnsi="Calibri"/>
                      <w:sz w:val="small"/>
                      <w:color w:val="000000"/>
                    </w:rPr>
                    <w:t xml:space="default">0.004098</w:t>
                  </w:r>
                </w:p>
              </w:tc>
              <w:tc>
                <w:tcPr>
                  <w:tcBorders>
                    <w:top w:val="single" w:space="0" w:color="D3D3D3"/>
                    <w:bottom w:val="single" w:space="0" w:color="D3D3D3"/>
                    <w:start w:val="single" w:space="0" w:color="D3D3D3"/>
                    <w:end w:val="single" w:space="0" w:color="D3D3D3"/>
                  </w:tcBorders>
                  <w:shd w:val="clear" w:color="auto" w:fill="FFFFD7"/>
                </w:tcPr>
                <w:p>
                  <w:pPr>
                    <w:spacing w:before="0" w:after="60"/>
                    <w:keepNext/>
                    <w:jc w:val="end"/>
                  </w:pPr>
                  <w:r>
                    <w:rPr>
                      <w:rFonts w:ascii="Calibri" w:hAnsi="Calibri"/>
                      <w:sz w:val="small"/>
                      <w:color w:val="000000"/>
                    </w:rPr>
                    <w:t xml:space="default">0.000052</w:t>
                  </w:r>
                </w:p>
              </w:tc>
              <w:tc>
                <w:tcPr>
                  <w:tcBorders>
                    <w:top w:val="single" w:space="0" w:color="D3D3D3"/>
                    <w:bottom w:val="single" w:space="0" w:color="D3D3D3"/>
                    <w:start w:val="single" w:space="0" w:color="D3D3D3"/>
                    <w:end w:val="single" w:space="0" w:color="D3D3D3"/>
                  </w:tcBorders>
                  <w:shd w:val="clear" w:color="auto" w:fill="808080"/>
                </w:tcPr>
                <w:p>
                  <w:pPr>
                    <w:spacing w:before="0" w:after="60"/>
                    <w:keepNext/>
                    <w:jc w:val="end"/>
                  </w:pPr>
                  <w:r>
                    <w:rPr>
                      <w:rFonts w:ascii="Calibri" w:hAnsi="Calibri"/>
                      <w:sz w:val="small"/>
                      <w:color w:val="FFFFFF"/>
                    </w:rPr>
                    <w:t xml:space="default">NA</w:t>
                  </w:r>
                </w:p>
              </w:tc>
            </w:tr>
          </w:tbl>
          <w:bookmarkEnd w:id="32"/>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33" w:name="tbl-gradient"/>
          <w:p>
            <w:pPr>
              <w:jc w:val="center"/>
            </w:pPr>
            <w:pPr>
              <w:jc w:val="start"/>
              <w:spacing w:before="200"/>
              <w:pStyle w:val="ImageCaption"/>
            </w:pPr>
            <w:r>
              <w:t xml:space="preserve">Table 3: Top 20 parameters with largest gradients (absolute value) from RTMB using ADMB parameter estimates.</w:t>
            </w:r>
          </w:p>
          <w:p>
            <w:pPr>
              <w:jc w:val="center"/>
            </w:pPr>
            <w:r>
              <w:t xml:space="preserve">outer mgc: 6.36535e-06</w:t>
            </w:r>
            <w:r>
              <w:t xml:space="preserve"> </w:t>
            </w:r>
            <w:r>
              <w:t xml:space="preserve">outer mgc: 6.36535e-06</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start"/>
                  </w:pPr>
                  <w:r>
                    <w:rPr>
                      <w:rFonts w:ascii="Calibri" w:hAnsi="Calibri"/>
                      <w:sz w:val="20"/>
                    </w:rPr>
                    <w:t xml:space="default">Parameter</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gradient</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sel_slp_bts_dev</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6.365350e-06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sel_devs_ats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-5.150768e-06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sel_age_one_bts_dev</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4.980036e-06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sel_devs_ats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4.853937e-06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sel_age_one_bts_dev</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-4.486980e-06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sel_slp_bts_dev</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-4.402086e-06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sel_devs_ats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4.161281e-06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sel_age_one_bts_dev</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4.138287e-06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sel_devs_ats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-4.101133e-06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sel_devs_ats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-4.097302e-06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sel_slp_bts_dev</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3.487143e-06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sel_slp_bts_dev</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3.258269e-06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sel_devs_ats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3.194401e-06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sel_devs_ats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-3.190566e-06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sel_devs_ats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3.146215e-06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sel_devs_ats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3.068769e-06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sel_devs_ats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3.008710e-06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sel_devs_ats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2.963560e-06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sel_age_one_bts_dev</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2.962122e-06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sel_devs_ats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2.952612e-06</w:t>
                  </w:r>
                </w:p>
              </w:tc>
            </w:tr>
          </w:tbl>
          <w:bookmarkEnd w:id="33"/>
        </w:tc>
      </w:tr>
    </w:tbl>
    <w:tbl>
      <w:tblPr>
        <w:tblStyle w:val="Table"/>
        <w:tblW w:type="pct" w:w="5000"/>
        <w:tblLayout w:type="fixed"/>
        <w:tblLook w:firstRow="0" w:lastRow="0" w:firstColumn="0" w:lastColumn="0" w:noHBand="0" w:noVBand="0" w:val="0000"/>
      </w:tblPr>
      <w:tblGrid>
        <w:gridCol w:w="7920"/>
      </w:tblGrid>
      <w:tr>
        <w:tc>
          <w:tcPr/>
          <w:bookmarkStart w:id="37" w:name="fig-SSB_recruits"/>
          <w:p>
            <w:pPr>
              <w:pStyle w:val="Compact"/>
              <w:jc w:val="center"/>
            </w:pPr>
            <w:r>
              <w:drawing>
                <wp:inline>
                  <wp:extent cx="5334000" cy="7112000"/>
                  <wp:effectExtent b="0" l="0" r="0" t="0"/>
                  <wp:docPr descr="" title="" id="35" name="Picture"/>
                  <a:graphic>
                    <a:graphicData uri="http://schemas.openxmlformats.org/drawingml/2006/picture">
                      <pic:pic>
                        <pic:nvPicPr>
                          <pic:cNvPr descr="Sept_2025_files/figure-docx/fig-SSB_recruits-1.png" id="36" name="Picture"/>
                          <pic:cNvPicPr>
                            <a:picLocks noChangeArrowheads="1" noChangeAspect="1"/>
                          </pic:cNvPicPr>
                        </pic:nvPicPr>
                        <pic:blipFill>
                          <a:blip r:embed="rId34"/>
                          <a:stretch>
                            <a:fillRect/>
                          </a:stretch>
                        </pic:blipFill>
                        <pic:spPr bwMode="auto">
                          <a:xfrm>
                            <a:off x="0" y="0"/>
                            <a:ext cx="5334000" cy="7112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SSB and age-1 recruits from RTMB and ADMB, dashed lines are standard deviations (x10). Both ADMB and RTMB results are overlain.</w:t>
            </w:r>
          </w:p>
          <w:bookmarkEnd w:id="37"/>
        </w:tc>
      </w:tr>
    </w:tbl>
    <w:tbl>
      <w:tblPr>
        <w:tblStyle w:val="Table"/>
        <w:tblW w:type="pct" w:w="5000"/>
        <w:tblLayout w:type="fixed"/>
        <w:tblLook w:firstRow="0" w:lastRow="0" w:firstColumn="0" w:lastColumn="0" w:noHBand="0" w:noVBand="0" w:val="0000"/>
      </w:tblPr>
      <w:tblGrid>
        <w:gridCol w:w="7920"/>
      </w:tblGrid>
      <w:tr>
        <w:tc>
          <w:tcPr/>
          <w:bookmarkStart w:id="41" w:name="fig-diffs"/>
          <w:p>
            <w:pPr>
              <w:pStyle w:val="Compact"/>
              <w:jc w:val="center"/>
            </w:pPr>
            <w:r>
              <w:drawing>
                <wp:inline>
                  <wp:extent cx="5334000" cy="8001000"/>
                  <wp:effectExtent b="0" l="0" r="0" t="0"/>
                  <wp:docPr descr="" title="" id="39" name="Picture"/>
                  <a:graphic>
                    <a:graphicData uri="http://schemas.openxmlformats.org/drawingml/2006/picture">
                      <pic:pic>
                        <pic:nvPicPr>
                          <pic:cNvPr descr="Sept_2025_files/figure-docx/fig-diffs-1.png" id="40" name="Picture"/>
                          <pic:cNvPicPr>
                            <a:picLocks noChangeArrowheads="1" noChangeAspect="1"/>
                          </pic:cNvPicPr>
                        </pic:nvPicPr>
                        <pic:blipFill>
                          <a:blip r:embed="rId38"/>
                          <a:stretch>
                            <a:fillRect/>
                          </a:stretch>
                        </pic:blipFill>
                        <pic:spPr bwMode="auto">
                          <a:xfrm>
                            <a:off x="0" y="0"/>
                            <a:ext cx="5334000" cy="8001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Relative differences between ADMB and RTMB estimates of SSB and age-1 recruits and asymptotic standard deviation approximations.</w:t>
            </w:r>
          </w:p>
          <w:bookmarkEnd w:id="41"/>
        </w:tc>
      </w:tr>
    </w:tbl>
    <w:bookmarkEnd w:id="42"/>
    <w:bookmarkStart w:id="64" w:name="rtmb-implementation-of-mcmc-integrations"/>
    <w:p>
      <w:pPr>
        <w:pStyle w:val="Heading2"/>
      </w:pPr>
      <w:r>
        <w:t xml:space="preserve">RTMB implementation of MCMC integrations</w:t>
      </w:r>
    </w:p>
    <w:p>
      <w:pPr>
        <w:pStyle w:val="FirstParagraph"/>
      </w:pPr>
      <w:r>
        <w:t xml:space="preserve">A single run for a chain of 5,000 resulted in excellent mixing quality with the</w:t>
      </w:r>
      <w:r>
        <w:t xml:space="preserve"> </w:t>
      </w:r>
      <w:r>
        <w:t xml:space="preserve">“poorest</w:t>
      </w:r>
      <w:r>
        <w:t xml:space="preserve"> </w:t>
      </w:r>
      <w:r>
        <w:t xml:space="preserve">mixing”</w:t>
      </w:r>
      <w:r>
        <w:t xml:space="preserve"> </w:t>
      </w:r>
      <w:r>
        <w:t xml:space="preserve">parameters demonstrating very good MCMC performance (</w:t>
      </w:r>
      <w:hyperlink w:anchor="fig-mcmc">
        <w:r>
          <w:rPr>
            <w:rStyle w:val="Hyperlink"/>
          </w:rPr>
          <w:t xml:space="preserve">Figure 4</w:t>
        </w:r>
      </w:hyperlink>
      <w:r>
        <w:t xml:space="preserve">). The trace plots</w:t>
      </w:r>
      <w:r>
        <w:t xml:space="preserve"> </w:t>
      </w:r>
      <w:r>
        <w:t xml:space="preserve">show the typical</w:t>
      </w:r>
      <w:r>
        <w:t xml:space="preserve"> </w:t>
      </w:r>
      <w:r>
        <w:t xml:space="preserve">“fuzzy caterpillar”</w:t>
      </w:r>
      <w:r>
        <w:t xml:space="preserve"> </w:t>
      </w:r>
      <w:r>
        <w:t xml:space="preserve">pattern indicating good mixing and the pairwise plots</w:t>
      </w:r>
      <w:r>
        <w:t xml:space="preserve"> </w:t>
      </w:r>
      <w:r>
        <w:t xml:space="preserve">reveal appropriate exploration of parameter space. The chains appear to be sampling</w:t>
      </w:r>
      <w:r>
        <w:t xml:space="preserve"> </w:t>
      </w:r>
      <w:r>
        <w:t xml:space="preserve">efficiently from the posterior distributions without any divergent transitions or other</w:t>
      </w:r>
      <w:r>
        <w:t xml:space="preserve"> </w:t>
      </w:r>
      <w:r>
        <w:t xml:space="preserve">issues. The high effective sample size (ESS) values (ranging from ~900-1793) suggest that</w:t>
      </w:r>
      <w:r>
        <w:t xml:space="preserve"> </w:t>
      </w:r>
      <w:r>
        <w:t xml:space="preserve">the chains are providing plenty of independent samples from the posterior distribution.</w:t>
      </w:r>
    </w:p>
    <w:p>
      <w:pPr>
        <w:pStyle w:val="BodyText"/>
      </w:pPr>
      <w:r>
        <w:t xml:space="preserve">Using some of the additional features of the</w:t>
      </w:r>
      <w:r>
        <w:t xml:space="preserve"> </w:t>
      </w:r>
      <w:r>
        <w:rPr>
          <w:rStyle w:val="VerbatimChar"/>
        </w:rPr>
        <w:t xml:space="preserve">ADNUTS</w:t>
      </w:r>
      <w:r>
        <w:t xml:space="preserve"> </w:t>
      </w:r>
      <w:r>
        <w:t xml:space="preserve">R package shows that in relatively</w:t>
      </w:r>
      <w:r>
        <w:t xml:space="preserve"> </w:t>
      </w:r>
      <w:r>
        <w:t xml:space="preserve">few commands, a useful suite of diagnostics can be created (</w:t>
      </w:r>
      <w:hyperlink w:anchor="fig-mcmc-diagnostics">
        <w:r>
          <w:rPr>
            <w:rStyle w:val="Hyperlink"/>
          </w:rPr>
          <w:t xml:space="preserve">Figure 5</w:t>
        </w:r>
      </w:hyperlink>
      <w:r>
        <w:t xml:space="preserve">).</w:t>
      </w:r>
    </w:p>
    <w:p>
      <w:pPr>
        <w:pStyle w:val="BodyText"/>
      </w:pPr>
      <w:r>
        <w:t xml:space="preserve">This figure provides comprehensive validation of the Bayesian MCMC results against</w:t>
      </w:r>
      <w:r>
        <w:t xml:space="preserve"> </w:t>
      </w:r>
      <w:r>
        <w:t xml:space="preserve">frequentist asymptotic approximations for the EBS pollock stock assessment model, showing</w:t>
      </w:r>
      <w:r>
        <w:t xml:space="preserve"> </w:t>
      </w:r>
      <w:r>
        <w:t xml:space="preserve">excellent overall performance across all diagnostics. Panel (a) demonstrates tight</w:t>
      </w:r>
      <w:r>
        <w:t xml:space="preserve"> </w:t>
      </w:r>
      <w:r>
        <w:t xml:space="preserve">agreement between posterior standard deviations and asymptotic standard errors along the</w:t>
      </w:r>
      <w:r>
        <w:t xml:space="preserve"> </w:t>
      </w:r>
      <w:r>
        <w:t xml:space="preserve">1:1 line, validating that both approaches yield similar uncertainty estimates. Panel (b)</w:t>
      </w:r>
      <w:r>
        <w:t xml:space="preserve"> </w:t>
      </w:r>
      <w:r>
        <w:t xml:space="preserve">shows well-behaved, approximately normal marginal posterior distributions for various</w:t>
      </w:r>
      <w:r>
        <w:t xml:space="preserve"> </w:t>
      </w:r>
      <w:r>
        <w:t xml:space="preserve">log-scale parameters with good coverage by density curves, indicating proper sampling.</w:t>
      </w:r>
      <w:r>
        <w:t xml:space="preserve"> </w:t>
      </w:r>
      <w:r>
        <w:t xml:space="preserve">Panel (c) presents the spawning stock biomass time series from 1978-2020, showing higher</w:t>
      </w:r>
      <w:r>
        <w:t xml:space="preserve"> </w:t>
      </w:r>
      <w:r>
        <w:t xml:space="preserve">biomass in early years, decline through the 1980s-1990s, and lower variability in recent</w:t>
      </w:r>
      <w:r>
        <w:t xml:space="preserve"> </w:t>
      </w:r>
      <w:r>
        <w:t xml:space="preserve">decades with appropriate uncertainty quantification throughout. Panel (d) displays</w:t>
      </w:r>
      <w:r>
        <w:t xml:space="preserve"> </w:t>
      </w:r>
      <w:r>
        <w:t xml:space="preserve">pairwise plots for the 5 parameters with the greatest Bayesian-frequentist variance</w:t>
      </w:r>
      <w:r>
        <w:t xml:space="preserve"> </w:t>
      </w:r>
      <w:r>
        <w:t xml:space="preserve">discrepancies, yet even these show reasonable correlations and good mixing in trace plots.</w:t>
      </w:r>
      <w:r>
        <w:t xml:space="preserve"> </w:t>
      </w:r>
      <w:r>
        <w:t xml:space="preserve">Overall, this validation demonstrates that the RTMB Bayesian implementation performs</w:t>
      </w:r>
      <w:r>
        <w:t xml:space="preserve"> </w:t>
      </w:r>
      <w:r>
        <w:t xml:space="preserve">excellently with close agreement to established frequentist methods while providing the</w:t>
      </w:r>
      <w:r>
        <w:t xml:space="preserve"> </w:t>
      </w:r>
      <w:r>
        <w:t xml:space="preserve">additional benefits of full posterior distributions and proper uncertainty propagation.</w:t>
      </w:r>
    </w:p>
    <w:p>
      <w:pPr>
        <w:pStyle w:val="BodyText"/>
      </w:pPr>
      <w:r>
        <w:t xml:space="preserve">The point of using MCMC’s is that in the future previously assumed variances can be</w:t>
      </w:r>
      <w:r>
        <w:t xml:space="preserve"> </w:t>
      </w:r>
      <w:r>
        <w:t xml:space="preserve">estimated more objectively.</w:t>
      </w:r>
    </w:p>
    <w:tbl>
      <w:tblPr>
        <w:tblStyle w:val="Table"/>
        <w:tblW w:type="pct" w:w="5000"/>
        <w:tblLayout w:type="fixed"/>
        <w:tblLook w:firstRow="0" w:lastRow="0" w:firstColumn="0" w:lastColumn="0" w:noHBand="0" w:noVBand="0" w:val="0000"/>
      </w:tblPr>
      <w:tblGrid>
        <w:gridCol w:w="7920"/>
      </w:tblGrid>
      <w:tr>
        <w:tc>
          <w:tcPr/>
          <w:bookmarkStart w:id="46" w:name="fig-mcmc"/>
          <w:p>
            <w:pPr>
              <w:pStyle w:val="Compact"/>
              <w:jc w:val="center"/>
            </w:pPr>
            <w:r>
              <w:drawing>
                <wp:inline>
                  <wp:extent cx="5334000" cy="5334000"/>
                  <wp:effectExtent b="0" l="0" r="0" t="0"/>
                  <wp:docPr descr="" title="" id="44" name="Picture"/>
                  <a:graphic>
                    <a:graphicData uri="http://schemas.openxmlformats.org/drawingml/2006/picture">
                      <pic:pic>
                        <pic:nvPicPr>
                          <pic:cNvPr descr="Sept_2025_files/figure-docx/fig-mcmc-1.png" id="45" name="Picture"/>
                          <pic:cNvPicPr>
                            <a:picLocks noChangeArrowheads="1" noChangeAspect="1"/>
                          </pic:cNvPicPr>
                        </pic:nvPicPr>
                        <pic:blipFill>
                          <a:blip r:embed="rId43"/>
                          <a:stretch>
                            <a:fillRect/>
                          </a:stretch>
                        </pic:blipFill>
                        <pic:spPr bwMode="auto">
                          <a:xfrm>
                            <a:off x="0" y="0"/>
                            <a:ext cx="5334000" cy="5334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MCMC results from RTMB implementation of the EBS pollock model showing the slowest mixing parameters.</w:t>
            </w:r>
          </w:p>
          <w:bookmarkEnd w:id="46"/>
        </w:tc>
      </w:tr>
    </w:tbl>
    <w:bookmarkStart w:id="63" w:name="fig-mcmc-diagnostics"/>
    <w:tbl>
      <w:tblPr>
        <w:tblStyle w:val="Table"/>
        <w:tblW w:type="pct" w:w="4900"/>
        <w:tblLayout w:type="fixed"/>
        <w:tblLook w:firstRow="0" w:lastRow="0" w:firstColumn="0" w:lastColumn="0" w:noHBand="0" w:noVBand="0" w:val="0000"/>
      </w:tblPr>
      <w:tblGrid>
        <w:gridCol w:w="3880"/>
        <w:gridCol w:w="3880"/>
      </w:tblGrid>
      <w:tr>
        <w:tc>
          <w:tcPr/>
          <w:tbl>
            <w:tblPr>
              <w:tblStyle w:val="Table"/>
              <w:tblW w:type="pct" w:w="4900"/>
              <w:tblLayout w:type="fixed"/>
              <w:tblLook w:firstRow="0" w:lastRow="0" w:firstColumn="0" w:lastColumn="0" w:noHBand="0" w:noVBand="0" w:val="0000"/>
            </w:tblPr>
            <w:tblGrid>
              <w:gridCol w:w="7761"/>
            </w:tblGrid>
            <w:tr>
              <w:tc>
                <w:tcPr/>
                <w:bookmarkStart w:id="50" w:name="fig-mcmc-diagnostics-1"/>
                <w:p>
                  <w:pPr>
                    <w:pStyle w:val="Compact"/>
                    <w:jc w:val="center"/>
                    <w:jc w:val="left"/>
                  </w:pPr>
                  <w:r>
                    <w:drawing>
                      <wp:inline>
                        <wp:extent cx="2971800" cy="2674620"/>
                        <wp:effectExtent b="0" l="0" r="0" t="0"/>
                        <wp:docPr descr="" title="" id="48" name="Picture"/>
                        <a:graphic>
                          <a:graphicData uri="http://schemas.openxmlformats.org/drawingml/2006/picture">
                            <pic:pic>
                              <pic:nvPicPr>
                                <pic:cNvPr descr="Sept_2025_files/figure-docx/fig-mcmc-diagnostics-1.png" id="49" name="Picture"/>
                                <pic:cNvPicPr>
                                  <a:picLocks noChangeArrowheads="1" noChangeAspect="1"/>
                                </pic:cNvPicPr>
                              </pic:nvPicPr>
                              <pic:blipFill>
                                <a:blip r:embed="rId47"/>
                                <a:stretch>
                                  <a:fillRect/>
                                </a:stretch>
                              </pic:blipFill>
                              <pic:spPr bwMode="auto">
                                <a:xfrm>
                                  <a:off x="0" y="0"/>
                                  <a:ext cx="2971800" cy="2674620"/>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(a) Comparison of posterior marginal standard deviation with the asymptotic approximation.</w:t>
                  </w:r>
                </w:p>
                <w:bookmarkEnd w:id="50"/>
              </w:tc>
            </w:tr>
          </w:tbl>
          <w:p/>
        </w:tc>
        <w:tc>
          <w:tcPr/>
          <w:tbl>
            <w:tblPr>
              <w:tblStyle w:val="Table"/>
              <w:tblW w:type="pct" w:w="4900"/>
              <w:tblLayout w:type="fixed"/>
              <w:tblLook w:firstRow="0" w:lastRow="0" w:firstColumn="0" w:lastColumn="0" w:noHBand="0" w:noVBand="0" w:val="0000"/>
            </w:tblPr>
            <w:tblGrid>
              <w:gridCol w:w="7761"/>
            </w:tblGrid>
            <w:tr>
              <w:tc>
                <w:tcPr/>
                <w:bookmarkStart w:id="54" w:name="fig-mcmc-diagnostics-2"/>
                <w:p>
                  <w:pPr>
                    <w:pStyle w:val="Compact"/>
                    <w:jc w:val="center"/>
                    <w:jc w:val="left"/>
                  </w:pPr>
                  <w:r>
                    <w:drawing>
                      <wp:inline>
                        <wp:extent cx="2971800" cy="2674620"/>
                        <wp:effectExtent b="0" l="0" r="0" t="0"/>
                        <wp:docPr descr="" title="" id="52" name="Picture"/>
                        <a:graphic>
                          <a:graphicData uri="http://schemas.openxmlformats.org/drawingml/2006/picture">
                            <pic:pic>
                              <pic:nvPicPr>
                                <pic:cNvPr descr="Sept_2025_files/figure-docx/fig-mcmc-diagnostics-2.png" id="53" name="Picture"/>
                                <pic:cNvPicPr>
                                  <a:picLocks noChangeArrowheads="1" noChangeAspect="1"/>
                                </pic:cNvPicPr>
                              </pic:nvPicPr>
                              <pic:blipFill>
                                <a:blip r:embed="rId51"/>
                                <a:stretch>
                                  <a:fillRect/>
                                </a:stretch>
                              </pic:blipFill>
                              <pic:spPr bwMode="auto">
                                <a:xfrm>
                                  <a:off x="0" y="0"/>
                                  <a:ext cx="2971800" cy="2674620"/>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(b) Posterior density distributions for a selection of log-scale parameters (bars). Red lines represent the asymptotic normal approximation based.</w:t>
                  </w:r>
                </w:p>
                <w:bookmarkEnd w:id="54"/>
              </w:tc>
            </w:tr>
          </w:tbl>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3880"/>
        <w:gridCol w:w="3880"/>
      </w:tblGrid>
      <w:tr>
        <w:tc>
          <w:tcPr/>
          <w:tbl>
            <w:tblPr>
              <w:tblStyle w:val="Table"/>
              <w:tblW w:type="pct" w:w="4900"/>
              <w:tblLayout w:type="fixed"/>
              <w:tblLook w:firstRow="0" w:lastRow="0" w:firstColumn="0" w:lastColumn="0" w:noHBand="0" w:noVBand="0" w:val="0000"/>
            </w:tblPr>
            <w:tblGrid>
              <w:gridCol w:w="7761"/>
            </w:tblGrid>
            <w:tr>
              <w:tc>
                <w:tcPr/>
                <w:bookmarkStart w:id="58" w:name="fig-mcmc-diagnostics-3"/>
                <w:p>
                  <w:pPr>
                    <w:pStyle w:val="Compact"/>
                    <w:jc w:val="center"/>
                    <w:jc w:val="left"/>
                  </w:pPr>
                  <w:r>
                    <w:drawing>
                      <wp:inline>
                        <wp:extent cx="2971800" cy="2228850"/>
                        <wp:effectExtent b="0" l="0" r="0" t="0"/>
                        <wp:docPr descr="" title="" id="56" name="Picture"/>
                        <a:graphic>
                          <a:graphicData uri="http://schemas.openxmlformats.org/drawingml/2006/picture">
                            <pic:pic>
                              <pic:nvPicPr>
                                <pic:cNvPr descr="figs/SSB_mcmc.png" id="57" name="Picture"/>
                                <pic:cNvPicPr>
                                  <a:picLocks noChangeArrowheads="1" noChangeAspect="1"/>
                                </pic:cNvPicPr>
                              </pic:nvPicPr>
                              <pic:blipFill>
                                <a:blip r:embed="rId55"/>
                                <a:stretch>
                                  <a:fillRect/>
                                </a:stretch>
                              </pic:blipFill>
                              <pic:spPr bwMode="auto">
                                <a:xfrm>
                                  <a:off x="0" y="0"/>
                                  <a:ext cx="2971800" cy="2228850"/>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(c) Distribution of spawning biomass based on MCMC samples from the posterior distribution.</w:t>
                  </w:r>
                </w:p>
                <w:bookmarkEnd w:id="58"/>
              </w:tc>
            </w:tr>
          </w:tbl>
          <w:p/>
        </w:tc>
        <w:tc>
          <w:tcPr/>
          <w:tbl>
            <w:tblPr>
              <w:tblStyle w:val="Table"/>
              <w:tblW w:type="pct" w:w="4900"/>
              <w:tblLayout w:type="fixed"/>
              <w:tblLook w:firstRow="0" w:lastRow="0" w:firstColumn="0" w:lastColumn="0" w:noHBand="0" w:noVBand="0" w:val="0000"/>
            </w:tblPr>
            <w:tblGrid>
              <w:gridCol w:w="7761"/>
            </w:tblGrid>
            <w:tr>
              <w:tc>
                <w:tcPr/>
                <w:bookmarkStart w:id="62" w:name="fig-mcmc-diagnostics-4"/>
                <w:p>
                  <w:pPr>
                    <w:pStyle w:val="Compact"/>
                    <w:jc w:val="center"/>
                    <w:jc w:val="left"/>
                  </w:pPr>
                  <w:r>
                    <w:drawing>
                      <wp:inline>
                        <wp:extent cx="2971800" cy="2674620"/>
                        <wp:effectExtent b="0" l="0" r="0" t="0"/>
                        <wp:docPr descr="" title="" id="60" name="Picture"/>
                        <a:graphic>
                          <a:graphicData uri="http://schemas.openxmlformats.org/drawingml/2006/picture">
                            <pic:pic>
                              <pic:nvPicPr>
                                <pic:cNvPr descr="Sept_2025_files/figure-docx/fig-mcmc-diagnostics-4.png" id="61" name="Picture"/>
                                <pic:cNvPicPr>
                                  <a:picLocks noChangeArrowheads="1" noChangeAspect="1"/>
                                </pic:cNvPicPr>
                              </pic:nvPicPr>
                              <pic:blipFill>
                                <a:blip r:embed="rId59"/>
                                <a:stretch>
                                  <a:fillRect/>
                                </a:stretch>
                              </pic:blipFill>
                              <pic:spPr bwMode="auto">
                                <a:xfrm>
                                  <a:off x="0" y="0"/>
                                  <a:ext cx="2971800" cy="2674620"/>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(d) Pairs plot of the 5 parameters in the model that differ the most between posterior marginal variances and the asymptotic estimates.</w:t>
                  </w:r>
                </w:p>
                <w:bookmarkEnd w:id="62"/>
              </w:tc>
            </w:tr>
          </w:tbl>
          <w:p/>
        </w:tc>
      </w:tr>
    </w:tbl>
    <w:p>
      <w:pPr>
        <w:pStyle w:val="BodyText"/>
      </w:pPr>
      <w:pPr>
        <w:spacing w:before="200"/>
        <w:pStyle w:val="ImageCaption"/>
      </w:pPr>
      <w:r>
        <w:t xml:space="preserve">Figure 5: MCMC diagnostics from RTMB implementation of the EBS pollock model.</w:t>
      </w:r>
    </w:p>
    <w:bookmarkEnd w:id="63"/>
    <w:bookmarkEnd w:id="64"/>
    <w:bookmarkEnd w:id="65"/>
    <w:bookmarkStart w:id="88" w:name="Xb8f2d965b40e3cfae6c0aa665317d1cfb1908bf"/>
    <w:p>
      <w:pPr>
        <w:pStyle w:val="Heading1"/>
      </w:pPr>
      <w:r>
        <w:t xml:space="preserve">Considerations for future assessments regarding neighboring Russian federation fisheries</w:t>
      </w:r>
    </w:p>
    <w:p>
      <w:pPr>
        <w:pStyle w:val="FirstParagraph"/>
      </w:pPr>
      <w:r>
        <w:t xml:space="preserve">As this year’s assessment moves forward, particular attention is warranted on how Russian</w:t>
      </w:r>
      <w:r>
        <w:t xml:space="preserve"> </w:t>
      </w:r>
      <w:r>
        <w:t xml:space="preserve">fisheries and assessments are considered alongside our own results. Pollock in the eastern</w:t>
      </w:r>
      <w:r>
        <w:t xml:space="preserve"> </w:t>
      </w:r>
      <w:r>
        <w:t xml:space="preserve">and western Bering Sea are generally recognized as a single biological stock, with</w:t>
      </w:r>
      <w:r>
        <w:t xml:space="preserve"> </w:t>
      </w:r>
      <w:r>
        <w:t xml:space="preserve">seasonal exchange across the U.S.–Russia boundary documented by acoustic studies. As noted</w:t>
      </w:r>
      <w:r>
        <w:t xml:space="preserve"> </w:t>
      </w:r>
      <w:r>
        <w:t xml:space="preserve">in the CIE reviews, Russian removals are substantial with recent estimates representing on</w:t>
      </w:r>
      <w:r>
        <w:t xml:space="preserve"> </w:t>
      </w:r>
      <w:r>
        <w:t xml:space="preserve">the order of 20–45% of the U.S. catch in some years.</w:t>
      </w:r>
      <w:r>
        <w:t xml:space="preserve"> </w:t>
      </w:r>
      <w:r>
        <w:t xml:space="preserve">While examined in past assessments, the Russian catch magnitude should be re-evaluated to</w:t>
      </w:r>
      <w:r>
        <w:t xml:space="preserve"> </w:t>
      </w:r>
      <w:r>
        <w:t xml:space="preserve">examine how they might alter management advice.</w:t>
      </w:r>
      <w:r>
        <w:t xml:space="preserve"> </w:t>
      </w:r>
      <w:r>
        <w:t xml:space="preserve">As a step in beginning to make a more detailed evaluation, we compared the Russian stock</w:t>
      </w:r>
      <w:r>
        <w:t xml:space="preserve"> </w:t>
      </w:r>
      <w:r>
        <w:t xml:space="preserve">assessment results presented as part of their Marine Stewardship Council (MSC) review</w:t>
      </w:r>
      <w:r>
        <w:t xml:space="preserve"> </w:t>
      </w:r>
      <w:r>
        <w:t xml:space="preserve">panel with our model results (through 2024).</w:t>
      </w:r>
    </w:p>
    <w:bookmarkStart w:id="67" w:name="Xba06f9d90239bb3c5544e52fd0434fdc4c58814"/>
    <w:p>
      <w:pPr>
        <w:pStyle w:val="Heading3"/>
      </w:pPr>
      <w:r>
        <w:t xml:space="preserve">Russian literature review related to WBS pollock</w:t>
      </w:r>
    </w:p>
    <w:p>
      <w:pPr>
        <w:pStyle w:val="FirstParagraph"/>
      </w:pPr>
      <w:r>
        <w:t xml:space="preserve">The contrasts between the Russian WBS and U.S. EBS pollock assessments highlight both</w:t>
      </w:r>
      <w:r>
        <w:t xml:space="preserve"> </w:t>
      </w:r>
      <w:r>
        <w:t xml:space="preserve">complementary perspectives and important methodological differences (</w:t>
      </w:r>
      <w:hyperlink w:anchor="tbl-rususa-assessments">
        <w:r>
          <w:rPr>
            <w:rStyle w:val="Hyperlink"/>
          </w:rPr>
          <w:t xml:space="preserve">Table 4</w:t>
        </w:r>
      </w:hyperlink>
      <w:r>
        <w:t xml:space="preserve">). Both systems conclude</w:t>
      </w:r>
      <w:r>
        <w:t xml:space="preserve"> </w:t>
      </w:r>
      <w:r>
        <w:t xml:space="preserve">that pollock biomass is currently above target reference levels and that fishing mortality</w:t>
      </w:r>
      <w:r>
        <w:t xml:space="preserve"> </w:t>
      </w:r>
      <w:r>
        <w:t xml:space="preserve">is below limits, reinforcing the perception of a healthy stock across the Bering Sea.</w:t>
      </w:r>
      <w:r>
        <w:t xml:space="preserve"> </w:t>
      </w:r>
      <w:r>
        <w:t xml:space="preserve">However, the Russian shift to a</w:t>
      </w:r>
      <w:r>
        <w:t xml:space="preserve"> </w:t>
      </w:r>
      <w:r>
        <w:t xml:space="preserve">“modern MSY”</w:t>
      </w:r>
      <w:r>
        <w:t xml:space="preserve"> </w:t>
      </w:r>
      <w:r>
        <w:t xml:space="preserve">framework, with</w:t>
      </w:r>
      <w:r>
        <w:t xml:space="preserve"> </w:t>
      </w:r>
      <m:oMath>
        <m:sSub>
          <m:e>
            <m:r>
              <m:t>F</m:t>
            </m:r>
          </m:e>
          <m:sub>
            <m:r>
              <m:t>t</m:t>
            </m:r>
            <m:r>
              <m:t>a</m:t>
            </m:r>
            <m:r>
              <m:t>r</m:t>
            </m:r>
            <m:r>
              <m:t>g</m:t>
            </m:r>
            <m:r>
              <m:t>e</m:t>
            </m:r>
            <m:r>
              <m:t>t</m:t>
            </m:r>
          </m:sub>
        </m:sSub>
      </m:oMath>
      <w:r>
        <w:t xml:space="preserve"> </w:t>
      </w:r>
      <w:r>
        <w:t xml:space="preserve">set at</w:t>
      </w:r>
      <w:r>
        <w:t xml:space="preserve"> </w:t>
      </w:r>
      <m:oMath>
        <m:sSub>
          <m:e>
            <m:r>
              <m:t>F</m:t>
            </m:r>
          </m:e>
          <m:sub>
            <m:r>
              <m:t>m</m:t>
            </m:r>
            <m:r>
              <m:t>s</m:t>
            </m:r>
            <m:r>
              <m:t>y</m:t>
            </m:r>
          </m:sub>
        </m:sSub>
      </m:oMath>
      <w:r>
        <w:t xml:space="preserve"> </w:t>
      </w:r>
      <w:r>
        <w:t xml:space="preserve">and</w:t>
      </w:r>
      <w:r>
        <w:t xml:space="preserve"> </w:t>
      </w:r>
      <m:oMath>
        <m:sSub>
          <m:e>
            <m:r>
              <m:t>B</m:t>
            </m:r>
          </m:e>
          <m:sub>
            <m:r>
              <m:t>t</m:t>
            </m:r>
            <m:r>
              <m:t>r</m:t>
            </m:r>
            <m:r>
              <m:t>i</m:t>
            </m:r>
            <m:r>
              <m:t>g</m:t>
            </m:r>
            <m:r>
              <m:t>g</m:t>
            </m:r>
            <m:r>
              <m:t>e</m:t>
            </m:r>
            <m:r>
              <m:t>r</m:t>
            </m:r>
          </m:sub>
        </m:sSub>
      </m:oMath>
      <w:r>
        <w:t xml:space="preserve"> </w:t>
      </w:r>
      <w:r>
        <w:t xml:space="preserve">at the lower 5th percentile of SSBmsy, allows higher catch levels but</w:t>
      </w:r>
      <w:r>
        <w:t xml:space="preserve"> </w:t>
      </w:r>
      <w:r>
        <w:t xml:space="preserve">introduces greater risk if recruitment declines. By contrast, the U.S. precautionary</w:t>
      </w:r>
      <w:r>
        <w:t xml:space="preserve"> </w:t>
      </w:r>
      <w:r>
        <w:t xml:space="preserve">approach constrains harvest below</w:t>
      </w:r>
      <w:r>
        <w:t xml:space="preserve"> </w:t>
      </w:r>
      <m:oMath>
        <m:sSub>
          <m:e>
            <m:r>
              <m:t>F</m:t>
            </m:r>
          </m:e>
          <m:sub>
            <m:r>
              <m:t>m</m:t>
            </m:r>
            <m:r>
              <m:t>s</m:t>
            </m:r>
            <m:r>
              <m:t>y</m:t>
            </m:r>
          </m:sub>
        </m:sSub>
      </m:oMath>
      <w:r>
        <w:t xml:space="preserve"> </w:t>
      </w:r>
      <w:r>
        <w:t xml:space="preserve">and maintains conservative biomass thresholds,</w:t>
      </w:r>
      <w:r>
        <w:t xml:space="preserve"> </w:t>
      </w:r>
      <w:r>
        <w:t xml:space="preserve">prioritizing long-term risk reduction. These differences underscore the need for careful</w:t>
      </w:r>
      <w:r>
        <w:t xml:space="preserve"> </w:t>
      </w:r>
      <w:r>
        <w:t xml:space="preserve">interpretation when comparing results across assessments: while the overall trends align,</w:t>
      </w:r>
      <w:r>
        <w:t xml:space="preserve"> </w:t>
      </w:r>
      <w:r>
        <w:t xml:space="preserve">differences in model structure, reference points, and treatment of uncertainty can produce</w:t>
      </w:r>
      <w:r>
        <w:t xml:space="preserve"> </w:t>
      </w:r>
      <w:r>
        <w:t xml:space="preserve">divergent management advice even under similar stock conditions.</w:t>
      </w:r>
    </w:p>
    <w:p>
      <w:pPr>
        <w:pStyle w:val="BodyText"/>
      </w:pPr>
      <w:r>
        <w:t xml:space="preserve">Bulatov and Vasilev (2023)</w:t>
      </w:r>
      <w:r>
        <w:t xml:space="preserve"> </w:t>
      </w:r>
      <w:r>
        <w:t xml:space="preserve">argue for moving from a precautionary HCR to a modern</w:t>
      </w:r>
      <w:r>
        <w:t xml:space="preserve"> </w:t>
      </w:r>
      <w:r>
        <w:rPr>
          <w:i/>
          <w:iCs/>
        </w:rPr>
        <w:t xml:space="preserve">MSY-based rule</w:t>
      </w:r>
      <w:r>
        <w:t xml:space="preserve"> </w:t>
      </w:r>
      <w:r>
        <w:t xml:space="preserve">for WBS/Navarin and N. Okhotsk pollock. Their stochastic projections (using</w:t>
      </w:r>
      <w:r>
        <w:t xml:space="preserve"> </w:t>
      </w:r>
      <w:r>
        <w:rPr>
          <w:i/>
          <w:iCs/>
        </w:rPr>
        <w:t xml:space="preserve">TISVPA</w:t>
      </w:r>
      <w:r>
        <w:t xml:space="preserve">)</w:t>
      </w:r>
      <w:r>
        <w:t xml:space="preserve"> </w:t>
      </w:r>
      <w:r>
        <w:t xml:space="preserve">resample historical recruitment (assumed independent of SSB) and set</w:t>
      </w:r>
      <w:r>
        <w:t xml:space="preserve"> </w:t>
      </w:r>
      <m:oMath>
        <m:sSub>
          <m:e>
            <m:r>
              <m:t>F</m:t>
            </m:r>
          </m:e>
          <m:sub>
            <m:r>
              <m:t>t</m:t>
            </m:r>
            <m:r>
              <m:t>a</m:t>
            </m:r>
            <m:r>
              <m:t>r</m:t>
            </m:r>
            <m:r>
              <m:t>g</m:t>
            </m:r>
            <m:r>
              <m:t>e</m:t>
            </m:r>
            <m:r>
              <m:t>t</m:t>
            </m:r>
          </m:sub>
        </m:sSub>
        <m:r>
          <m:rPr>
            <m:sty m:val="p"/>
          </m:rPr>
          <m:t>≥</m:t>
        </m:r>
        <m:sSub>
          <m:e>
            <m:r>
              <m:t>F</m:t>
            </m:r>
          </m:e>
          <m:sub>
            <m:r>
              <m:t>M</m:t>
            </m:r>
            <m:r>
              <m:t>S</m:t>
            </m:r>
            <m:r>
              <m:t>Y</m:t>
            </m:r>
          </m:sub>
        </m:sSub>
      </m:oMath>
      <w:r>
        <w:t xml:space="preserve">, with</w:t>
      </w:r>
      <w:r>
        <w:t xml:space="preserve"> </w:t>
      </w:r>
      <w:r>
        <w:rPr>
          <w:i/>
          <w:iCs/>
        </w:rPr>
        <w:t xml:space="preserve">MSY</w:t>
      </w:r>
      <w:r>
        <w:t xml:space="preserve"> </w:t>
      </w:r>
      <m:oMath>
        <m:sSub>
          <m:e>
            <m:r>
              <m:t>B</m:t>
            </m:r>
          </m:e>
          <m:sub>
            <m:r>
              <m:t>t</m:t>
            </m:r>
            <m:r>
              <m:t>r</m:t>
            </m:r>
            <m:r>
              <m:t>i</m:t>
            </m:r>
            <m:r>
              <m:t>g</m:t>
            </m:r>
            <m:r>
              <m:t>g</m:t>
            </m:r>
            <m:r>
              <m:t>e</m:t>
            </m:r>
            <m:r>
              <m:t>r</m:t>
            </m:r>
          </m:sub>
        </m:sSub>
      </m:oMath>
      <w:r>
        <w:t xml:space="preserve"> </w:t>
      </w:r>
      <w:r>
        <w:t xml:space="preserve">taken as the 5th percentile of the SSB</w:t>
      </w:r>
      <w:r>
        <w:t xml:space="preserve"> </w:t>
      </w:r>
      <w:r>
        <w:t xml:space="preserve">distribution under</w:t>
      </w:r>
      <w:r>
        <w:t xml:space="preserve"> </w:t>
      </w:r>
      <m:oMath>
        <m:sSub>
          <m:e>
            <m:r>
              <m:t>F</m:t>
            </m:r>
          </m:e>
          <m:sub>
            <m:r>
              <m:t>M</m:t>
            </m:r>
            <m:r>
              <m:t>S</m:t>
            </m:r>
            <m:r>
              <m:t>Y</m:t>
            </m:r>
          </m:sub>
        </m:sSub>
      </m:oMath>
      <w:r>
        <w:t xml:space="preserve">. Reported values include:</w:t>
      </w:r>
    </w:p>
    <w:p>
      <w:pPr>
        <w:pStyle w:val="Compact"/>
        <w:numPr>
          <w:ilvl w:val="0"/>
          <w:numId w:val="1001"/>
        </w:numPr>
      </w:pPr>
      <m:oMath>
        <m:sSub>
          <m:e>
            <m:r>
              <m:t>F</m:t>
            </m:r>
          </m:e>
          <m:sub>
            <m:r>
              <m:t>M</m:t>
            </m:r>
            <m:r>
              <m:t>S</m:t>
            </m:r>
            <m:r>
              <m:t>Y</m:t>
            </m:r>
          </m:sub>
        </m:sSub>
      </m:oMath>
      <w:r>
        <w:t xml:space="preserve"> </w:t>
      </w:r>
      <w:r>
        <w:t xml:space="preserve">≈ 0.75 yr⁻¹ (Navarin, WBS) and 0.60 yr⁻¹ (N. Okhotsk).</w:t>
      </w:r>
      <w:r>
        <w:br/>
      </w:r>
    </w:p>
    <w:p>
      <w:pPr>
        <w:pStyle w:val="Compact"/>
        <w:numPr>
          <w:ilvl w:val="0"/>
          <w:numId w:val="1001"/>
        </w:numPr>
      </w:pPr>
      <m:oMath>
        <m:sSub>
          <m:e>
            <m:r>
              <m:t>B</m:t>
            </m:r>
          </m:e>
          <m:sub>
            <m:r>
              <m:t>t</m:t>
            </m:r>
            <m:r>
              <m:t>r</m:t>
            </m:r>
            <m:r>
              <m:t>i</m:t>
            </m:r>
            <m:r>
              <m:t>g</m:t>
            </m:r>
            <m:r>
              <m:t>g</m:t>
            </m:r>
            <m:r>
              <m:t>e</m:t>
            </m:r>
            <m:r>
              <m:t>r</m:t>
            </m:r>
          </m:sub>
        </m:sSub>
      </m:oMath>
      <w:r>
        <w:t xml:space="preserve"> </w:t>
      </w:r>
      <w:r>
        <w:t xml:space="preserve">≈ 470 kt (Navarin) and 1.77 Mt (N. Okhotsk).</w:t>
      </w:r>
      <w:r>
        <w:br/>
      </w:r>
    </w:p>
    <w:p>
      <w:pPr>
        <w:pStyle w:val="Compact"/>
        <w:numPr>
          <w:ilvl w:val="0"/>
          <w:numId w:val="1001"/>
        </w:numPr>
      </w:pPr>
      <w:r>
        <w:t xml:space="preserve">Expected catches 15–30% higher than under the precautionary rule (2002–2022</w:t>
      </w:r>
      <w:r>
        <w:t xml:space="preserve"> </w:t>
      </w:r>
      <w:r>
        <w:t xml:space="preserve">reconstructions), with large short-term gains in 2022 (e.g., Navarin TAC +~60%).</w:t>
      </w:r>
    </w:p>
    <w:p>
      <w:pPr>
        <w:pStyle w:val="FirstParagraph"/>
      </w:pPr>
      <w:r>
        <w:t xml:space="preserve">The implications for our EBS–WBS comparison are that the Russian MSY framing aligns with</w:t>
      </w:r>
      <w:r>
        <w:t xml:space="preserve"> </w:t>
      </w:r>
      <w:r>
        <w:t xml:space="preserve">the recent WBS HCR updates (F</w:t>
      </w:r>
      <w:r>
        <w:t xml:space="preserve">target</w:t>
      </w:r>
      <w:r>
        <w:t xml:space="preserve">=F</w:t>
      </w:r>
      <w:r>
        <w:t xml:space="preserve">MSY</w:t>
      </w:r>
      <w:r>
        <w:t xml:space="preserve">, low B-trigger), helping</w:t>
      </w:r>
      <w:r>
        <w:t xml:space="preserve"> </w:t>
      </w:r>
      <w:r>
        <w:t xml:space="preserve">explain higher Russian TAC recommendations when recruitment is strong.</w:t>
      </w:r>
    </w:p>
    <w:p>
      <w:pPr>
        <w:pStyle w:val="BodyText"/>
      </w:pPr>
      <w:r>
        <w:t xml:space="preserve">Datsky, Sheybak, and Antonov (2022)</w:t>
      </w:r>
      <w:r>
        <w:t xml:space="preserve"> </w:t>
      </w:r>
      <w:r>
        <w:t xml:space="preserve">provide a comprehensive synthesis of pollock distribution, biology, stock</w:t>
      </w:r>
      <w:r>
        <w:t xml:space="preserve"> </w:t>
      </w:r>
      <w:r>
        <w:t xml:space="preserve">status, and fishery dynamics across the Bering Sea. Drawing on &gt;25 years of Russian</w:t>
      </w:r>
      <w:r>
        <w:t xml:space="preserve"> </w:t>
      </w:r>
      <w:r>
        <w:t xml:space="preserve">survey and fishery data, they describe the</w:t>
      </w:r>
      <w:r>
        <w:t xml:space="preserve"> </w:t>
      </w:r>
      <w:r>
        <w:rPr>
          <w:b/>
          <w:bCs/>
        </w:rPr>
        <w:t xml:space="preserve">ecological plasticity</w:t>
      </w:r>
      <w:r>
        <w:t xml:space="preserve"> </w:t>
      </w:r>
      <w:r>
        <w:t xml:space="preserve">of pollock, its broad</w:t>
      </w:r>
      <w:r>
        <w:t xml:space="preserve"> </w:t>
      </w:r>
      <w:r>
        <w:t xml:space="preserve">bathymetric range (20–600 m), and the role of</w:t>
      </w:r>
      <w:r>
        <w:t xml:space="preserve"> </w:t>
      </w:r>
      <w:r>
        <w:rPr>
          <w:b/>
          <w:bCs/>
        </w:rPr>
        <w:t xml:space="preserve">seasonal migrations</w:t>
      </w:r>
      <w:r>
        <w:t xml:space="preserve"> </w:t>
      </w:r>
      <w:r>
        <w:t xml:space="preserve">linking eastern and</w:t>
      </w:r>
      <w:r>
        <w:t xml:space="preserve"> </w:t>
      </w:r>
      <w:r>
        <w:t xml:space="preserve">western Bering Sea populations. Presumably these terms refer to the general adaptability</w:t>
      </w:r>
      <w:r>
        <w:t xml:space="preserve"> </w:t>
      </w:r>
      <w:r>
        <w:t xml:space="preserve">and broad habitat suitability of pollock.</w:t>
      </w:r>
    </w:p>
    <w:p>
      <w:pPr>
        <w:pStyle w:val="BodyText"/>
      </w:pPr>
      <w:r>
        <w:t xml:space="preserve">Pollock in the Bering Sea are organized into three main regional groupings—eastern Bering</w:t>
      </w:r>
      <w:r>
        <w:t xml:space="preserve"> </w:t>
      </w:r>
      <w:r>
        <w:t xml:space="preserve">Sea, Anadyr–Navarin, and western Bering Sea—that each maintain distinct spawning centers</w:t>
      </w:r>
      <w:r>
        <w:t xml:space="preserve"> </w:t>
      </w:r>
      <w:r>
        <w:t xml:space="preserve">but intermingle during feeding migrations, especially in the northwest. The western stock</w:t>
      </w:r>
      <w:r>
        <w:t xml:space="preserve"> </w:t>
      </w:r>
      <w:r>
        <w:t xml:space="preserve">experienced a marked decline in the late 1990s to early 2000s, but has gradually recovered</w:t>
      </w:r>
      <w:r>
        <w:t xml:space="preserve"> </w:t>
      </w:r>
      <w:r>
        <w:t xml:space="preserve">since 2010, while biomass levels in the eastern and northwestern regions are now close to</w:t>
      </w:r>
      <w:r>
        <w:t xml:space="preserve"> </w:t>
      </w:r>
      <w:r>
        <w:t xml:space="preserve">long-term averages. These dynamics are strongly shaped by environmental variability,</w:t>
      </w:r>
      <w:r>
        <w:t xml:space="preserve"> </w:t>
      </w:r>
      <w:r>
        <w:t xml:space="preserve">including climate conditions, sea ice, and prey availability.</w:t>
      </w:r>
    </w:p>
    <w:p>
      <w:pPr>
        <w:pStyle w:val="BodyText"/>
      </w:pPr>
      <w:r>
        <w:t xml:space="preserve">In Russian waters, recent pollock landings range between 350,000 and 630,000</w:t>
      </w:r>
      <w:r>
        <w:t xml:space="preserve"> </w:t>
      </w:r>
      <w:r>
        <w:t xml:space="preserve">metric tons annually, with roughly 90% of harvests occurring between June and December.</w:t>
      </w:r>
      <w:r>
        <w:t xml:space="preserve"> </w:t>
      </w:r>
      <w:r>
        <w:t xml:space="preserve">Importantly, the western and northwestern pollock populations are not isolated; they are</w:t>
      </w:r>
      <w:r>
        <w:t xml:space="preserve"> </w:t>
      </w:r>
      <w:r>
        <w:t xml:space="preserve">continually reinforced by migrations from the eastern Bering Sea. This connectivity helps</w:t>
      </w:r>
      <w:r>
        <w:t xml:space="preserve"> </w:t>
      </w:r>
      <w:r>
        <w:t xml:space="preserve">explain why U.S. and Russian assessments often capture similar recruitment and biomass</w:t>
      </w:r>
      <w:r>
        <w:t xml:space="preserve"> </w:t>
      </w:r>
      <w:r>
        <w:t xml:space="preserve">patterns, even if absolute magnitudes differ.</w:t>
      </w:r>
    </w:p>
    <w:p>
      <w:pPr>
        <w:pStyle w:val="BodyText"/>
      </w:pPr>
      <w:r>
        <w:t xml:space="preserve">Pollock dominate Russian Bering Sea fisheries, making up nearly 99% of total catches, with</w:t>
      </w:r>
      <w:r>
        <w:t xml:space="preserve"> </w:t>
      </w:r>
      <w:r>
        <w:t xml:space="preserve">bycatch impacts on seabirds and marine mammals reported as very low (</w:t>
      </w:r>
      <w:r>
        <w:t xml:space="preserve">Artyukhin, Korobov, and Gluschenko (2023)</w:t>
      </w:r>
      <w:r>
        <w:t xml:space="preserve">;</w:t>
      </w:r>
      <w:r>
        <w:t xml:space="preserve"> </w:t>
      </w:r>
      <w:r>
        <w:t xml:space="preserve">Burdin (2021)</w:t>
      </w:r>
      <w:r>
        <w:t xml:space="preserve">). Recent analyses and reviews (</w:t>
      </w:r>
      <w:r>
        <w:t xml:space="preserve">Japp and Sharov (2023)</w:t>
      </w:r>
      <w:r>
        <w:t xml:space="preserve">,</w:t>
      </w:r>
      <w:r>
        <w:t xml:space="preserve"> </w:t>
      </w:r>
      <w:r>
        <w:t xml:space="preserve">Japp and Sharov (2024)</w:t>
      </w:r>
      <w:r>
        <w:t xml:space="preserve">;</w:t>
      </w:r>
      <w:r>
        <w:t xml:space="preserve"> </w:t>
      </w:r>
      <w:r>
        <w:t xml:space="preserve">Bulatov and Vasilev (2023)</w:t>
      </w:r>
      <w:r>
        <w:t xml:space="preserve">;</w:t>
      </w:r>
      <w:r>
        <w:t xml:space="preserve"> </w:t>
      </w:r>
      <w:r>
        <w:t xml:space="preserve">Datsky, Sheybak, and Antonov (2022)</w:t>
      </w:r>
      <w:r>
        <w:t xml:space="preserve">) emphasize the ecological and management context of these</w:t>
      </w:r>
      <w:r>
        <w:t xml:space="preserve"> </w:t>
      </w:r>
      <w:r>
        <w:t xml:space="preserve">fisheries.</w:t>
      </w:r>
    </w:p>
    <w:tbl>
      <w:tblPr>
        <w:tblStyle w:val="Table"/>
        <w:tblW w:type="pct" w:w="5000"/>
        <w:tblLayout w:type="fixed"/>
        <w:tblLook w:firstRow="0" w:lastRow="0" w:firstColumn="0" w:lastColumn="0" w:noHBand="0" w:noVBand="0" w:val="0000"/>
      </w:tblPr>
      <w:tblGrid>
        <w:gridCol w:w="7920"/>
      </w:tblGrid>
      <w:tr>
        <w:tc>
          <w:tcPr/>
          <w:bookmarkStart w:id="66" w:name="tbl-rususa-assessments"/>
          <w:p>
            <w:pPr>
              <w:jc w:val="center"/>
            </w:pPr>
            <w:pPr>
              <w:jc w:val="start"/>
              <w:spacing w:before="200"/>
              <w:pStyle w:val="ImageCaption"/>
            </w:pPr>
            <w:r>
              <w:t xml:space="preserve">Table 4:</w:t>
            </w:r>
            <w:r>
              <w:t xml:space="preserve"> </w:t>
            </w:r>
            <w:r>
              <w:rPr>
                <w:i/>
                <w:iCs/>
              </w:rPr>
              <w:t xml:space="preserve">Note that Btrigger is the spawning biomass threshold that triggers management action to reduce fishing mortality.</w:t>
            </w:r>
          </w:p>
          <w:p>
            <w:pPr>
              <w:pStyle w:val="Compact"/>
              <w:jc w:val="center"/>
            </w:pPr>
            <w:r>
              <w:t xml:space="preserve">Comparison of Russian western Bering Sea (WBS) and U.S. eastern Bering Sea (EBS) pollock assessments.</w:t>
            </w:r>
          </w:p>
          <w:tbl>
            <w:tblPr>
              <w:tblStyle w:val="Table"/>
              <w:tblW w:type="pct" w:w="5000"/>
              <w:tblLayout w:type="fixed"/>
              <w:tblLook w:firstRow="1" w:lastRow="0" w:firstColumn="0" w:lastColumn="0" w:noHBand="0" w:noVBand="0" w:val="0020"/>
              <w:tblCaption w:val="Comparison of Russian western Bering Sea (WBS) and U.S. eastern Bering Sea (EBS) pollock assessments."/>
            </w:tblPr>
            <w:tblGrid>
              <w:gridCol w:w="1827"/>
              <w:gridCol w:w="3133"/>
              <w:gridCol w:w="2959"/>
            </w:tblGrid>
            <w:tr>
              <w:trPr>
                <w:tblHeader w:val="on"/>
              </w:trPr>
              <w:tc>
                <w:tcPr/>
                <w:p>
                  <w:pPr>
                    <w:pStyle w:val="Compact"/>
                    <w:jc w:val="center"/>
                  </w:pPr>
                  <w:r>
                    <w:t xml:space="preserve">Feature</w:t>
                  </w:r>
                </w:p>
              </w:tc>
              <w:tc>
                <w:tcPr/>
                <w:p>
                  <w:pPr>
                    <w:pStyle w:val="Compact"/>
                    <w:jc w:val="center"/>
                  </w:pPr>
                  <w:r>
                    <w:t xml:space="preserve">Russian WBS Assessment</w:t>
                  </w:r>
                </w:p>
              </w:tc>
              <w:tc>
                <w:tcPr/>
                <w:p>
                  <w:pPr>
                    <w:pStyle w:val="Compact"/>
                    <w:jc w:val="center"/>
                  </w:pPr>
                  <w:r>
                    <w:t xml:space="preserve">U.S. EBS Assessment</w:t>
                  </w:r>
                </w:p>
              </w:tc>
            </w:tr>
            <w:tr>
              <w:tc>
                <w:tcPr/>
                <w:p>
                  <w:pPr>
                    <w:pStyle w:val="Compact"/>
                    <w:jc w:val="center"/>
                  </w:pPr>
                  <w:r>
                    <w:rPr>
                      <w:b/>
                      <w:bCs/>
                    </w:rPr>
                    <w:t xml:space="preserve">Primary model</w:t>
                  </w:r>
                </w:p>
              </w:tc>
              <w:tc>
                <w:tcPr/>
                <w:p>
                  <w:pPr>
                    <w:pStyle w:val="Compact"/>
                    <w:jc w:val="center"/>
                  </w:pPr>
                  <w:r>
                    <w:t xml:space="preserve">TISVPA catch-at-age model (</w:t>
                  </w:r>
                  <w:r>
                    <w:t xml:space="preserve">Vasilyev (2005)</w:t>
                  </w:r>
                  <w:r>
                    <w:t xml:space="preserve">)</w:t>
                  </w:r>
                </w:p>
              </w:tc>
              <w:tc>
                <w:tcPr/>
                <w:p>
                  <w:pPr>
                    <w:pStyle w:val="Compact"/>
                    <w:jc w:val="center"/>
                  </w:pPr>
                  <w:r>
                    <w:t xml:space="preserve">ADMB statistical catch-at-age model (pollock model), routinely updated</w:t>
                  </w:r>
                </w:p>
              </w:tc>
            </w:tr>
            <w:tr>
              <w:tc>
                <w:tcPr/>
                <w:p>
                  <w:pPr>
                    <w:pStyle w:val="Compact"/>
                    <w:jc w:val="center"/>
                  </w:pPr>
                  <w:r>
                    <w:rPr>
                      <w:b/>
                      <w:bCs/>
                    </w:rPr>
                    <w:t xml:space="preserve">Assessment frequency</w:t>
                  </w:r>
                </w:p>
              </w:tc>
              <w:tc>
                <w:tcPr/>
                <w:p>
                  <w:pPr>
                    <w:pStyle w:val="Compact"/>
                    <w:jc w:val="center"/>
                  </w:pPr>
                  <w:r>
                    <w:t xml:space="preserve">Annual assessment; fishery-independent surveys ~ every 2 years</w:t>
                  </w:r>
                </w:p>
              </w:tc>
              <w:tc>
                <w:tcPr/>
                <w:p>
                  <w:pPr>
                    <w:pStyle w:val="Compact"/>
                    <w:jc w:val="center"/>
                  </w:pPr>
                  <w:r>
                    <w:t xml:space="preserve">Annual assessment; multiple fishery-independent surveys each year (BTS, ATS, AVO)</w:t>
                  </w:r>
                </w:p>
              </w:tc>
            </w:tr>
            <w:tr>
              <w:tc>
                <w:tcPr/>
                <w:p>
                  <w:pPr>
                    <w:pStyle w:val="Compact"/>
                    <w:jc w:val="center"/>
                  </w:pPr>
                  <w:r>
                    <w:rPr>
                      <w:b/>
                      <w:bCs/>
                    </w:rPr>
                    <w:t xml:space="preserve">Reference points (HCR)</w:t>
                  </w:r>
                </w:p>
              </w:tc>
              <w:tc>
                <w:tcPr/>
                <w:p>
                  <w:pPr>
                    <w:pStyle w:val="Compact"/>
                    <w:jc w:val="center"/>
                  </w:pPr>
                  <w:r>
                    <w:t xml:space="preserve">Since 2022:</w:t>
                  </w:r>
                  <w:r>
                    <w:t xml:space="preserve"> </w:t>
                  </w:r>
                  <w:r>
                    <w:rPr>
                      <w:b/>
                      <w:bCs/>
                    </w:rPr>
                    <w:t xml:space="preserve">Ftarget = Fmsy (or proxy)</w:t>
                  </w:r>
                  <w:r>
                    <w:t xml:space="preserve">;</w:t>
                  </w:r>
                  <w:r>
                    <w:t xml:space="preserve"> </w:t>
                  </w:r>
                  <w:r>
                    <w:rPr>
                      <w:b/>
                      <w:bCs/>
                    </w:rPr>
                    <w:t xml:space="preserve">Btrigger = 5th percentile of SSBmsy distribution</w:t>
                  </w:r>
                </w:p>
              </w:tc>
              <w:tc>
                <w:tcPr/>
                <w:p>
                  <w:pPr>
                    <w:pStyle w:val="Compact"/>
                    <w:jc w:val="center"/>
                  </w:pPr>
                  <w:r>
                    <w:t xml:space="preserve">Precautionary:</w:t>
                  </w:r>
                  <w:r>
                    <w:t xml:space="preserve"> </w:t>
                  </w:r>
                  <w:r>
                    <w:rPr>
                      <w:b/>
                      <w:bCs/>
                    </w:rPr>
                    <w:t xml:space="preserve">FABC &lt; Fmsy</w:t>
                  </w:r>
                  <w:r>
                    <w:t xml:space="preserve">,</w:t>
                  </w:r>
                  <w:r>
                    <w:t xml:space="preserve"> </w:t>
                  </w:r>
                  <w:r>
                    <w:rPr>
                      <w:b/>
                      <w:bCs/>
                    </w:rPr>
                    <w:t xml:space="preserve">B35%</w:t>
                  </w:r>
                  <w:r>
                    <w:t xml:space="preserve"> </w:t>
                  </w:r>
                  <w:r>
                    <w:t xml:space="preserve">proxy for SSBmsy; reference points set conservatively</w:t>
                  </w:r>
                </w:p>
              </w:tc>
            </w:tr>
            <w:tr>
              <w:tc>
                <w:tcPr/>
                <w:p>
                  <w:pPr>
                    <w:pStyle w:val="Compact"/>
                    <w:jc w:val="center"/>
                  </w:pPr>
                  <w:r>
                    <w:rPr>
                      <w:b/>
                      <w:bCs/>
                    </w:rPr>
                    <w:t xml:space="preserve">Management</w:t>
                  </w:r>
                </w:p>
              </w:tc>
              <w:tc>
                <w:tcPr/>
                <w:p>
                  <w:pPr>
                    <w:pStyle w:val="Compact"/>
                    <w:jc w:val="center"/>
                  </w:pPr>
                  <w:r>
                    <w:t xml:space="preserve">“Modern MSY”</w:t>
                  </w:r>
                  <w:r>
                    <w:t xml:space="preserve"> </w:t>
                  </w:r>
                  <w:r>
                    <w:t xml:space="preserve">approach, aiming for maximum sustainable harvest without exceeding safe stock status; allows ~15–30% higher TACs vs. precautionary approach</w:t>
                  </w:r>
                </w:p>
              </w:tc>
              <w:tc>
                <w:tcPr/>
                <w:p>
                  <w:pPr>
                    <w:pStyle w:val="Compact"/>
                    <w:jc w:val="center"/>
                  </w:pPr>
                  <w:r>
                    <w:t xml:space="preserve">Precautionary approach emphasizes risk reduction; TAC constrained by Council harvest rules</w:t>
                  </w:r>
                </w:p>
              </w:tc>
            </w:tr>
            <w:tr>
              <w:tc>
                <w:tcPr/>
                <w:p>
                  <w:pPr>
                    <w:pStyle w:val="Compact"/>
                    <w:jc w:val="center"/>
                  </w:pPr>
                  <w:r>
                    <w:rPr>
                      <w:b/>
                      <w:bCs/>
                    </w:rPr>
                    <w:t xml:space="preserve">Recruitment assumption</w:t>
                  </w:r>
                </w:p>
              </w:tc>
              <w:tc>
                <w:tcPr/>
                <w:p>
                  <w:pPr>
                    <w:pStyle w:val="Compact"/>
                    <w:jc w:val="center"/>
                  </w:pPr>
                  <w:r>
                    <w:t xml:space="preserve">Recruitment assumed independent of stock size, fluctuating randomly within historical distribution</w:t>
                  </w:r>
                </w:p>
              </w:tc>
              <w:tc>
                <w:tcPr/>
                <w:p>
                  <w:pPr>
                    <w:pStyle w:val="Compact"/>
                    <w:jc w:val="center"/>
                  </w:pPr>
                  <w:r>
                    <w:t xml:space="preserve">Stock–recruit relationship estimated (minor impact on recruitment estimates), with uncertainty reflected in projections</w:t>
                  </w:r>
                </w:p>
              </w:tc>
            </w:tr>
            <w:tr>
              <w:tc>
                <w:tcPr/>
                <w:p>
                  <w:pPr>
                    <w:pStyle w:val="Compact"/>
                    <w:jc w:val="center"/>
                  </w:pPr>
                  <w:r>
                    <w:rPr>
                      <w:b/>
                      <w:bCs/>
                    </w:rPr>
                    <w:t xml:space="preserve">Recent stock status</w:t>
                  </w:r>
                </w:p>
              </w:tc>
              <w:tc>
                <w:tcPr/>
                <w:p>
                  <w:pPr>
                    <w:pStyle w:val="Compact"/>
                    <w:jc w:val="center"/>
                  </w:pPr>
                  <w:r>
                    <w:t xml:space="preserve">2023: SSB well above SSBtarget and SSBmsy proxy; F &lt; Ftarget and Flimit; stock increasing</w:t>
                  </w:r>
                </w:p>
              </w:tc>
              <w:tc>
                <w:tcPr/>
                <w:p>
                  <w:pPr>
                    <w:pStyle w:val="Compact"/>
                    <w:jc w:val="center"/>
                  </w:pPr>
                  <w:r>
                    <w:t xml:space="preserve">2024: SSB above B35% and Bmsy proxy; F well below reference points; stock stable to increasing</w:t>
                  </w:r>
                </w:p>
              </w:tc>
            </w:tr>
            <w:tr>
              <w:tc>
                <w:tcPr/>
                <w:p>
                  <w:pPr>
                    <w:pStyle w:val="Compact"/>
                    <w:jc w:val="center"/>
                  </w:pPr>
                  <w:r>
                    <w:rPr>
                      <w:b/>
                      <w:bCs/>
                    </w:rPr>
                    <w:t xml:space="preserve">Uncertainty notes</w:t>
                  </w:r>
                </w:p>
              </w:tc>
              <w:tc>
                <w:tcPr/>
                <w:p>
                  <w:pPr>
                    <w:pStyle w:val="Compact"/>
                    <w:jc w:val="center"/>
                  </w:pPr>
                  <w:r>
                    <w:t xml:space="preserve">Higher terminal year uncertainty in TISVPA; risk of overexploitation if stock declines under new HCR</w:t>
                  </w:r>
                </w:p>
              </w:tc>
              <w:tc>
                <w:tcPr/>
                <w:p>
                  <w:pPr>
                    <w:pStyle w:val="Compact"/>
                    <w:jc w:val="center"/>
                  </w:pPr>
                  <w:r>
                    <w:t xml:space="preserve">Uncertainty routinely quantified (likelihood profiles, MCMC); precautionary buffers applied in catch advice</w:t>
                  </w:r>
                </w:p>
              </w:tc>
            </w:tr>
            <w:tr>
              <w:tc>
                <w:tcPr/>
                <w:p>
                  <w:pPr>
                    <w:pStyle w:val="Compact"/>
                    <w:jc w:val="center"/>
                  </w:pPr>
                  <w:r>
                    <w:rPr>
                      <w:b/>
                      <w:bCs/>
                    </w:rPr>
                    <w:t xml:space="preserve">Governance &amp; compliance</w:t>
                  </w:r>
                </w:p>
              </w:tc>
              <w:tc>
                <w:tcPr/>
                <w:p>
                  <w:pPr>
                    <w:pStyle w:val="Compact"/>
                    <w:jc w:val="center"/>
                  </w:pPr>
                  <w:r>
                    <w:t xml:space="preserve">Managed by Federal Fisheries Agency (FFA) and CFMC; MSC certified since 2021; electronic logbook system in place</w:t>
                  </w:r>
                </w:p>
              </w:tc>
              <w:tc>
                <w:tcPr/>
                <w:p>
                  <w:pPr>
                    <w:pStyle w:val="Compact"/>
                    <w:jc w:val="center"/>
                  </w:pPr>
                  <w:r>
                    <w:t xml:space="preserve">Managed under NPFMC/AFSC framework; extensive observer coverage; SAFE reports reviewed annually; MSC certified since 2005</w:t>
                  </w:r>
                </w:p>
              </w:tc>
            </w:tr>
          </w:tbl>
          <w:bookmarkEnd w:id="66"/>
          <w:p/>
        </w:tc>
      </w:tr>
    </w:tbl>
    <w:bookmarkEnd w:id="67"/>
    <w:bookmarkStart w:id="77" w:name="Xe95be6f8cd2259822057c4ed609a8f603cd21cd"/>
    <w:p>
      <w:pPr>
        <w:pStyle w:val="Heading2"/>
      </w:pPr>
      <w:r>
        <w:t xml:space="preserve">Comparison of Russian and USA age‑structured assessment results</w:t>
      </w:r>
    </w:p>
    <w:p>
      <w:pPr>
        <w:pStyle w:val="FirstParagraph"/>
      </w:pPr>
      <w:r>
        <w:t xml:space="preserve">Comparisons between Russian and U.S. assessments indicate that U.S. numbers-at-age are</w:t>
      </w:r>
      <w:r>
        <w:t xml:space="preserve"> </w:t>
      </w:r>
      <w:r>
        <w:t xml:space="preserve">consistently higher, with total abundance estimates averaging about 2.9 times greater than</w:t>
      </w:r>
      <w:r>
        <w:t xml:space="preserve"> </w:t>
      </w:r>
      <w:r>
        <w:t xml:space="preserve">Russian estimates (median ratio ≈ 2.7). Despite this scale difference, recruitment and</w:t>
      </w:r>
      <w:r>
        <w:t xml:space="preserve"> </w:t>
      </w:r>
      <w:r>
        <w:t xml:space="preserve">biomass trends display synchrony, suggesting that both assessments capture shared</w:t>
      </w:r>
      <w:r>
        <w:t xml:space="preserve"> </w:t>
      </w:r>
      <w:r>
        <w:t xml:space="preserve">population dynamics across the basin while differing in magnitude due to survey intensity,</w:t>
      </w:r>
      <w:r>
        <w:t xml:space="preserve"> </w:t>
      </w:r>
      <w:r>
        <w:t xml:space="preserve">model structure, and management frameworks.</w:t>
      </w:r>
    </w:p>
    <w:p>
      <w:pPr>
        <w:pStyle w:val="BodyText"/>
      </w:pPr>
      <w:r>
        <w:t xml:space="preserve">The comparison of U.S. and Russian pollock assessments shows that U.S. estimates of total</w:t>
      </w:r>
      <w:r>
        <w:t xml:space="preserve"> </w:t>
      </w:r>
      <w:r>
        <w:t xml:space="preserve">numbers-at-age are consistently higher than those from Russia, typically by a factor of</w:t>
      </w:r>
      <w:r>
        <w:t xml:space="preserve"> </w:t>
      </w:r>
      <w:r>
        <w:t xml:space="preserve">2–4, with the ratio peaking above 5 in the early 2010s (</w:t>
      </w:r>
      <w:hyperlink w:anchor="fig-plots_comparison">
        <w:r>
          <w:rPr>
            <w:rStyle w:val="Hyperlink"/>
          </w:rPr>
          <w:t xml:space="preserve">Figure 6</w:t>
        </w:r>
      </w:hyperlink>
      <w:r>
        <w:t xml:space="preserve">,</w:t>
      </w:r>
      <w:r>
        <w:t xml:space="preserve"> </w:t>
      </w:r>
      <w:r>
        <w:t xml:space="preserve">bottom-left). Both assessments show similar interannual patterns, particularly for age-1</w:t>
      </w:r>
      <w:r>
        <w:t xml:space="preserve"> </w:t>
      </w:r>
      <w:r>
        <w:t xml:space="preserve">recruits (top-right), suggesting some shared signals of strong year classes. Correlation</w:t>
      </w:r>
      <w:r>
        <w:t xml:space="preserve"> </w:t>
      </w:r>
      <w:r>
        <w:t xml:space="preserve">analysis by age class (bottom-right;</w:t>
      </w:r>
      <w:r>
        <w:t xml:space="preserve"> </w:t>
      </w:r>
      <w:hyperlink w:anchor="tbl-age_corr">
        <w:r>
          <w:rPr>
            <w:rStyle w:val="Hyperlink"/>
          </w:rPr>
          <w:t xml:space="preserve">Table 5</w:t>
        </w:r>
      </w:hyperlink>
      <w:r>
        <w:t xml:space="preserve">) confirms this alignment, with moderate</w:t>
      </w:r>
      <w:r>
        <w:t xml:space="preserve"> </w:t>
      </w:r>
      <w:r>
        <w:t xml:space="preserve">to strong positive correlations across ages 1–6. At older ages, correlations weaken and</w:t>
      </w:r>
      <w:r>
        <w:t xml:space="preserve"> </w:t>
      </w:r>
      <w:r>
        <w:t xml:space="preserve">even turn negative (age 10), reflecting differences in how the two assessments treat age</w:t>
      </w:r>
      <w:r>
        <w:t xml:space="preserve"> </w:t>
      </w:r>
      <w:r>
        <w:t xml:space="preserve">structure and fishery/survey data inputs. Overall, while the magnitude of estimates</w:t>
      </w:r>
      <w:r>
        <w:t xml:space="preserve"> </w:t>
      </w:r>
      <w:r>
        <w:t xml:space="preserve">differs substantially between the two countries, the consistent synchrony in recruitment</w:t>
      </w:r>
      <w:r>
        <w:t xml:space="preserve"> </w:t>
      </w:r>
      <w:r>
        <w:t xml:space="preserve">trends indicates that both assessments are capturing the same broad population dynamics,</w:t>
      </w:r>
      <w:r>
        <w:t xml:space="preserve"> </w:t>
      </w:r>
      <w:r>
        <w:t xml:space="preserve">albeit with systematic differences in scale.</w:t>
      </w:r>
    </w:p>
    <w:tbl>
      <w:tblPr>
        <w:tblStyle w:val="Table"/>
        <w:tblW w:type="pct" w:w="5000"/>
        <w:tblLayout w:type="fixed"/>
        <w:tblLook w:firstRow="0" w:lastRow="0" w:firstColumn="0" w:lastColumn="0" w:noHBand="0" w:noVBand="0" w:val="0000"/>
      </w:tblPr>
      <w:tblGrid>
        <w:gridCol w:w="7920"/>
      </w:tblGrid>
      <w:tr>
        <w:tc>
          <w:tcPr/>
          <w:bookmarkStart w:id="68" w:name="tbl-age_corr"/>
          <w:p>
            <w:pPr>
              <w:jc w:val="center"/>
            </w:pPr>
            <w:pPr>
              <w:jc w:val="start"/>
              <w:spacing w:before="200"/>
              <w:pStyle w:val="ImageCaption"/>
            </w:pPr>
            <w:r>
              <w:t xml:space="preserve">Table 5: Correlations between Russian and USA age classes, 1995-2024.</w:t>
            </w:r>
          </w:p>
          <w:p>
            <w:pPr>
              <w:spacing w:before="0" w:after="60"/>
              <w:keepNext/>
              <w:jc w:val="start"/>
              <w:pStyle w:val="caption"/>
            </w:pPr>
            <w:r>
              <w:rPr>
                <w:rFonts w:ascii="Calibri" w:hAnsi="Calibri"/>
                <w:sz w:val="24"/>
              </w:rPr>
              <w:t xml:space="preserve">Table </w:t>
            </w:r>
            <w:r>
              <w:fldChar w:fldCharType="begin" w:dirty="true"/>
            </w:r>
            <w:r>
              <w:instrText xml:space="preserve" w:dirty="true"> SEQ Table \* ARABIC </w:instrText>
            </w:r>
            <w:r>
              <w:fldChar w:fldCharType="separate" w:dirty="true"/>
            </w:r>
            <w:r>
              <w:rPr>
                <w:noProof/>
                <w:rFonts w:ascii="Calibri" w:hAnsi="Calibri"/>
                <w:sz w:val="24"/>
              </w:rPr>
              <w:t xml:space="default">1</w:t>
            </w:r>
            <w:r>
              <w:fldChar w:fldCharType="end" w:dirty="true"/>
            </w:r>
            <w:r>
              <w:rPr>
                <w:rFonts w:ascii="Calibri" w:hAnsi="Calibri"/>
                <w:sz w:val="24"/>
              </w:rPr>
              <w:t xml:space="preserve">: </w:t>
            </w:r>
            <w:r>
              <w:rPr>
                <w:rFonts w:ascii="Calibri" w:hAnsi="Calibri"/>
                <w:sz w:val="24"/>
                <w:color w:val="333333"/>
              </w:rPr>
              <w:t xml:space="default">Correlations between Russian and USA Age Classes</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end"/>
                  </w:pPr>
                  <w:r>
                    <w:rPr>
                      <w:rFonts w:ascii="Calibri" w:hAnsi="Calibri"/>
                      <w:sz w:val="20"/>
                    </w:rPr>
                    <w:t xml:space="default">Age</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Correlation</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0.625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0.627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0.618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0.697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0.682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0.560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0.083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0.098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-0.500</w:t>
                  </w:r>
                </w:p>
              </w:tc>
            </w:tr>
          </w:tbl>
          <w:bookmarkEnd w:id="68"/>
        </w:tc>
      </w:tr>
    </w:tbl>
    <w:tbl>
      <w:tblPr>
        <w:tblStyle w:val="Table"/>
        <w:tblW w:type="pct" w:w="5000"/>
        <w:tblLayout w:type="fixed"/>
        <w:tblLook w:firstRow="0" w:lastRow="0" w:firstColumn="0" w:lastColumn="0" w:noHBand="0" w:noVBand="0" w:val="0000"/>
      </w:tblPr>
      <w:tblGrid>
        <w:gridCol w:w="7920"/>
      </w:tblGrid>
      <w:tr>
        <w:tc>
          <w:tcPr/>
          <w:bookmarkStart w:id="72" w:name="fig-plots_comparison"/>
          <w:p>
            <w:pPr>
              <w:pStyle w:val="Compact"/>
              <w:jc w:val="center"/>
            </w:pPr>
            <w:r>
              <w:drawing>
                <wp:inline>
                  <wp:extent cx="5334000" cy="6667500"/>
                  <wp:effectExtent b="0" l="0" r="0" t="0"/>
                  <wp:docPr descr="" title="" id="70" name="Picture"/>
                  <a:graphic>
                    <a:graphicData uri="http://schemas.openxmlformats.org/drawingml/2006/picture">
                      <pic:pic>
                        <pic:nvPicPr>
                          <pic:cNvPr descr="Sept_2025_files/figure-docx/fig-plots_comparison-1.png" id="71" name="Picture"/>
                          <pic:cNvPicPr>
                            <a:picLocks noChangeArrowheads="1" noChangeAspect="1"/>
                          </pic:cNvPicPr>
                        </pic:nvPicPr>
                        <pic:blipFill>
                          <a:blip r:embed="rId69"/>
                          <a:stretch>
                            <a:fillRect/>
                          </a:stretch>
                        </pic:blipFill>
                        <pic:spPr bwMode="auto">
                          <a:xfrm>
                            <a:off x="0" y="0"/>
                            <a:ext cx="5334000" cy="66675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Various comparisons between Russian and USA age-structured survey results.</w:t>
            </w:r>
          </w:p>
          <w:bookmarkEnd w:id="72"/>
        </w:tc>
      </w:tr>
    </w:tbl>
    <w:tbl>
      <w:tblPr>
        <w:tblStyle w:val="Table"/>
        <w:tblW w:type="pct" w:w="5000"/>
        <w:tblLayout w:type="fixed"/>
        <w:tblLook w:firstRow="0" w:lastRow="0" w:firstColumn="0" w:lastColumn="0" w:noHBand="0" w:noVBand="0" w:val="0000"/>
      </w:tblPr>
      <w:tblGrid>
        <w:gridCol w:w="7920"/>
      </w:tblGrid>
      <w:tr>
        <w:tc>
          <w:tcPr/>
          <w:bookmarkStart w:id="76" w:name="fig-plots_comparison2"/>
          <w:p>
            <w:pPr>
              <w:pStyle w:val="Compact"/>
              <w:jc w:val="center"/>
            </w:pPr>
            <w:r>
              <w:drawing>
                <wp:inline>
                  <wp:extent cx="5334000" cy="6667500"/>
                  <wp:effectExtent b="0" l="0" r="0" t="0"/>
                  <wp:docPr descr="" title="" id="74" name="Picture"/>
                  <a:graphic>
                    <a:graphicData uri="http://schemas.openxmlformats.org/drawingml/2006/picture">
                      <pic:pic>
                        <pic:nvPicPr>
                          <pic:cNvPr descr="Sept_2025_files/figure-docx/fig-plots_comparison2-1.png" id="75" name="Picture"/>
                          <pic:cNvPicPr>
                            <a:picLocks noChangeArrowheads="1" noChangeAspect="1"/>
                          </pic:cNvPicPr>
                        </pic:nvPicPr>
                        <pic:blipFill>
                          <a:blip r:embed="rId73"/>
                          <a:stretch>
                            <a:fillRect/>
                          </a:stretch>
                        </pic:blipFill>
                        <pic:spPr bwMode="auto">
                          <a:xfrm>
                            <a:off x="0" y="0"/>
                            <a:ext cx="5334000" cy="66675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Various comparisons between Russian and USA age-structured assessment results.</w:t>
            </w:r>
          </w:p>
          <w:bookmarkEnd w:id="76"/>
        </w:tc>
      </w:tr>
    </w:tbl>
    <w:bookmarkEnd w:id="77"/>
    <w:bookmarkStart w:id="87" w:name="sec-ebsgoa"/>
    <w:p>
      <w:pPr>
        <w:pStyle w:val="Heading2"/>
      </w:pPr>
      <w:r>
        <w:t xml:space="preserve">Comparison with the Gulf of Alaska (GOA) pollock estimates</w:t>
      </w:r>
    </w:p>
    <w:p>
      <w:pPr>
        <w:pStyle w:val="FirstParagraph"/>
      </w:pPr>
      <w:r>
        <w:t xml:space="preserve">Since the Russian context suggests some connectivity, for perspective, we thought it might</w:t>
      </w:r>
      <w:r>
        <w:t xml:space="preserve"> </w:t>
      </w:r>
      <w:r>
        <w:t xml:space="preserve">be useful to conduct a similar comparison with results from the GOA pollock stock. Pollock</w:t>
      </w:r>
      <w:r>
        <w:t xml:space="preserve"> </w:t>
      </w:r>
      <w:r>
        <w:t xml:space="preserve">assessments from the eastern Bering Sea (EBS) and Gulf of Alaska (GOA) show strong</w:t>
      </w:r>
      <w:r>
        <w:t xml:space="preserve"> </w:t>
      </w:r>
      <w:r>
        <w:t xml:space="preserve">contrasts in both magnitude and dynamics of numbers-at-age. The EBS consistently supports</w:t>
      </w:r>
      <w:r>
        <w:t xml:space="preserve"> </w:t>
      </w:r>
      <w:r>
        <w:t xml:space="preserve">far higher abundances across all ages and years (typically 5–15 times greater than the</w:t>
      </w:r>
      <w:r>
        <w:t xml:space="preserve"> </w:t>
      </w:r>
      <w:r>
        <w:t xml:space="preserve">GOA;</w:t>
      </w:r>
      <w:r>
        <w:t xml:space="preserve"> </w:t>
      </w:r>
      <w:hyperlink w:anchor="fig-plots_comparison_goa">
        <w:r>
          <w:rPr>
            <w:rStyle w:val="Hyperlink"/>
          </w:rPr>
          <w:t xml:space="preserve">Figure 8</w:t>
        </w:r>
      </w:hyperlink>
      <w:r>
        <w:t xml:space="preserve">). Recruitment pulses are evident in both regions,</w:t>
      </w:r>
      <w:r>
        <w:t xml:space="preserve"> </w:t>
      </w:r>
      <w:r>
        <w:t xml:space="preserve">particularly at age 1, but the correlations by age class reveal only modest positive</w:t>
      </w:r>
      <w:r>
        <w:t xml:space="preserve"> </w:t>
      </w:r>
      <w:r>
        <w:t xml:space="preserve">associations at younger ages, while older ages show little to no correspondence</w:t>
      </w:r>
      <w:r>
        <w:t xml:space="preserve"> </w:t>
      </w:r>
      <w:r>
        <w:t xml:space="preserve">(</w:t>
      </w:r>
      <w:hyperlink w:anchor="tbl-goa_corr">
        <w:r>
          <w:rPr>
            <w:rStyle w:val="Hyperlink"/>
          </w:rPr>
          <w:t xml:space="preserve">Table 6</w:t>
        </w:r>
      </w:hyperlink>
      <w:r>
        <w:t xml:space="preserve">). This indicates that early life stages may share some environmental</w:t>
      </w:r>
      <w:r>
        <w:t xml:space="preserve"> </w:t>
      </w:r>
      <w:r>
        <w:t xml:space="preserve">drivers across basins, but overall population dynamics remain largely decoupled.</w:t>
      </w:r>
    </w:p>
    <w:p>
      <w:pPr>
        <w:pStyle w:val="BodyText"/>
      </w:pPr>
      <w:r>
        <w:t xml:space="preserve">A more detailed breakdown by age class underscores these findings</w:t>
      </w:r>
      <w:r>
        <w:t xml:space="preserve"> </w:t>
      </w:r>
      <w:r>
        <w:t xml:space="preserve">(</w:t>
      </w:r>
      <w:hyperlink w:anchor="fig-plots_comparison_goa2">
        <w:r>
          <w:rPr>
            <w:rStyle w:val="Hyperlink"/>
          </w:rPr>
          <w:t xml:space="preserve">Figure 9</w:t>
        </w:r>
      </w:hyperlink>
      <w:r>
        <w:t xml:space="preserve">). Cohort strength in the EBS exhibits large variability with</w:t>
      </w:r>
      <w:r>
        <w:t xml:space="preserve"> </w:t>
      </w:r>
      <w:r>
        <w:t xml:space="preserve">recurring strong year classes, while the GOA maintains lower overall abundance with weaker</w:t>
      </w:r>
      <w:r>
        <w:t xml:space="preserve"> </w:t>
      </w:r>
      <w:r>
        <w:t xml:space="preserve">pulses. Time-series plots for ages 1–6 highlight this contrast, with the EBS showing sharp</w:t>
      </w:r>
      <w:r>
        <w:t xml:space="preserve"> </w:t>
      </w:r>
      <w:r>
        <w:t xml:space="preserve">recruitment spikes and the GOA remaining more muted.</w:t>
      </w:r>
    </w:p>
    <w:tbl>
      <w:tblPr>
        <w:tblStyle w:val="Table"/>
        <w:tblW w:type="pct" w:w="5000"/>
        <w:tblLayout w:type="fixed"/>
        <w:tblLook w:firstRow="0" w:lastRow="0" w:firstColumn="0" w:lastColumn="0" w:noHBand="0" w:noVBand="0" w:val="0000"/>
      </w:tblPr>
      <w:tblGrid>
        <w:gridCol w:w="7920"/>
      </w:tblGrid>
      <w:tr>
        <w:tc>
          <w:tcPr/>
          <w:bookmarkStart w:id="78" w:name="tbl-goa_corr"/>
          <w:p>
            <w:pPr>
              <w:jc w:val="center"/>
            </w:pPr>
            <w:pPr>
              <w:jc w:val="start"/>
              <w:spacing w:before="200"/>
              <w:pStyle w:val="ImageCaption"/>
            </w:pPr>
            <w:r>
              <w:t xml:space="preserve">Table 6: Summary of age-specific correlations between GOA and EBS age classes, 1995-2024.</w:t>
            </w:r>
          </w:p>
          <w:p>
            <w:pPr>
              <w:spacing w:before="0" w:after="60"/>
              <w:keepNext/>
              <w:jc w:val="start"/>
              <w:pStyle w:val="caption"/>
            </w:pPr>
            <w:r>
              <w:rPr>
                <w:rFonts w:ascii="Calibri" w:hAnsi="Calibri"/>
                <w:sz w:val="24"/>
              </w:rPr>
              <w:t xml:space="preserve">Table </w:t>
            </w:r>
            <w:r>
              <w:fldChar w:fldCharType="begin" w:dirty="true"/>
            </w:r>
            <w:r>
              <w:instrText xml:space="preserve" w:dirty="true"> SEQ Table \* ARABIC </w:instrText>
            </w:r>
            <w:r>
              <w:fldChar w:fldCharType="separate" w:dirty="true"/>
            </w:r>
            <w:r>
              <w:rPr>
                <w:noProof/>
                <w:rFonts w:ascii="Calibri" w:hAnsi="Calibri"/>
                <w:sz w:val="24"/>
              </w:rPr>
              <w:t xml:space="default">1</w:t>
            </w:r>
            <w:r>
              <w:fldChar w:fldCharType="end" w:dirty="true"/>
            </w:r>
            <w:r>
              <w:rPr>
                <w:rFonts w:ascii="Calibri" w:hAnsi="Calibri"/>
                <w:sz w:val="24"/>
              </w:rPr>
              <w:t xml:space="preserve">: </w:t>
            </w:r>
            <w:r>
              <w:rPr>
                <w:rFonts w:ascii="Calibri" w:hAnsi="Calibri"/>
                <w:sz w:val="24"/>
                <w:color w:val="333333"/>
              </w:rPr>
              <w:t xml:space="default">Correlations between GOA and EBS Age Classes</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end"/>
                  </w:pPr>
                  <w:r>
                    <w:rPr>
                      <w:rFonts w:ascii="Calibri" w:hAnsi="Calibri"/>
                      <w:sz w:val="20"/>
                    </w:rPr>
                    <w:t xml:space="default">Age</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Correlation</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0.321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0.324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0.289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0.264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0.200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0.162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0.142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0.071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0.032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-0.064</w:t>
                  </w:r>
                </w:p>
              </w:tc>
            </w:tr>
          </w:tbl>
          <w:bookmarkEnd w:id="78"/>
        </w:tc>
      </w:tr>
    </w:tbl>
    <w:tbl>
      <w:tblPr>
        <w:tblStyle w:val="Table"/>
        <w:tblW w:type="pct" w:w="5000"/>
        <w:tblLayout w:type="fixed"/>
        <w:tblLook w:firstRow="0" w:lastRow="0" w:firstColumn="0" w:lastColumn="0" w:noHBand="0" w:noVBand="0" w:val="0000"/>
      </w:tblPr>
      <w:tblGrid>
        <w:gridCol w:w="7920"/>
      </w:tblGrid>
      <w:tr>
        <w:tc>
          <w:tcPr/>
          <w:bookmarkStart w:id="82" w:name="fig-plots_comparison_goa"/>
          <w:p>
            <w:pPr>
              <w:pStyle w:val="Compact"/>
              <w:jc w:val="center"/>
            </w:pPr>
            <w:r>
              <w:drawing>
                <wp:inline>
                  <wp:extent cx="5334000" cy="6667500"/>
                  <wp:effectExtent b="0" l="0" r="0" t="0"/>
                  <wp:docPr descr="" title="" id="80" name="Picture"/>
                  <a:graphic>
                    <a:graphicData uri="http://schemas.openxmlformats.org/drawingml/2006/picture">
                      <pic:pic>
                        <pic:nvPicPr>
                          <pic:cNvPr descr="Sept_2025_files/figure-docx/fig-plots_comparison_goa-1.png" id="81" name="Picture"/>
                          <pic:cNvPicPr>
                            <a:picLocks noChangeArrowheads="1" noChangeAspect="1"/>
                          </pic:cNvPicPr>
                        </pic:nvPicPr>
                        <pic:blipFill>
                          <a:blip r:embed="rId79"/>
                          <a:stretch>
                            <a:fillRect/>
                          </a:stretch>
                        </pic:blipFill>
                        <pic:spPr bwMode="auto">
                          <a:xfrm>
                            <a:off x="0" y="0"/>
                            <a:ext cx="5334000" cy="66675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8: Various comparisons between GOA and EBS age-structured assessment results.</w:t>
            </w:r>
          </w:p>
          <w:bookmarkEnd w:id="82"/>
        </w:tc>
      </w:tr>
    </w:tbl>
    <w:tbl>
      <w:tblPr>
        <w:tblStyle w:val="Table"/>
        <w:tblW w:type="pct" w:w="5000"/>
        <w:tblLayout w:type="fixed"/>
        <w:tblLook w:firstRow="0" w:lastRow="0" w:firstColumn="0" w:lastColumn="0" w:noHBand="0" w:noVBand="0" w:val="0000"/>
      </w:tblPr>
      <w:tblGrid>
        <w:gridCol w:w="7920"/>
      </w:tblGrid>
      <w:tr>
        <w:tc>
          <w:tcPr/>
          <w:bookmarkStart w:id="86" w:name="fig-plots_comparison_goa2"/>
          <w:p>
            <w:pPr>
              <w:pStyle w:val="Compact"/>
              <w:jc w:val="center"/>
            </w:pPr>
            <w:r>
              <w:drawing>
                <wp:inline>
                  <wp:extent cx="5334000" cy="6667500"/>
                  <wp:effectExtent b="0" l="0" r="0" t="0"/>
                  <wp:docPr descr="" title="" id="84" name="Picture"/>
                  <a:graphic>
                    <a:graphicData uri="http://schemas.openxmlformats.org/drawingml/2006/picture">
                      <pic:pic>
                        <pic:nvPicPr>
                          <pic:cNvPr descr="Sept_2025_files/figure-docx/fig-plots_comparison_goa2-1.png" id="85" name="Picture"/>
                          <pic:cNvPicPr>
                            <a:picLocks noChangeArrowheads="1" noChangeAspect="1"/>
                          </pic:cNvPicPr>
                        </pic:nvPicPr>
                        <pic:blipFill>
                          <a:blip r:embed="rId83"/>
                          <a:stretch>
                            <a:fillRect/>
                          </a:stretch>
                        </pic:blipFill>
                        <pic:spPr bwMode="auto">
                          <a:xfrm>
                            <a:off x="0" y="0"/>
                            <a:ext cx="5334000" cy="66675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9: Various comparisons between GOA and EBS age-structured assessment results.</w:t>
            </w:r>
          </w:p>
          <w:bookmarkEnd w:id="86"/>
        </w:tc>
      </w:tr>
    </w:tbl>
    <w:p>
      <w:pPr>
        <w:pStyle w:val="BodyText"/>
      </w:pPr>
      <w:r>
        <w:t xml:space="preserve">In summary, the correlations between numbers at age from the GOA, EBS, and Russia are consistent with</w:t>
      </w:r>
      <w:r>
        <w:t xml:space="preserve"> </w:t>
      </w:r>
      <w:r>
        <w:t xml:space="preserve">what has been observed from genetic studies and general movement of fish from the EBS</w:t>
      </w:r>
      <w:r>
        <w:t xml:space="preserve"> </w:t>
      </w:r>
      <w:r>
        <w:t xml:space="preserve">into Russian waters (</w:t>
      </w:r>
      <w:r>
        <w:t xml:space="preserve">J. Ianelli et al. (2023)</w:t>
      </w:r>
      <w:r>
        <w:t xml:space="preserve">,</w:t>
      </w:r>
      <w:r>
        <w:t xml:space="preserve"> </w:t>
      </w:r>
      <w:r>
        <w:t xml:space="preserve">O’Leary et al. (2022)</w:t>
      </w:r>
      <w:r>
        <w:t xml:space="preserve">,</w:t>
      </w:r>
      <w:r>
        <w:t xml:space="preserve"> </w:t>
      </w:r>
      <w:r>
        <w:t xml:space="preserve">Levine et al. (2024)</w:t>
      </w:r>
      <w:r>
        <w:t xml:space="preserve">)</w:t>
      </w:r>
    </w:p>
    <w:bookmarkEnd w:id="87"/>
    <w:bookmarkEnd w:id="88"/>
    <w:bookmarkStart w:id="89" w:name="other-items"/>
    <w:p>
      <w:pPr>
        <w:pStyle w:val="Heading1"/>
      </w:pPr>
      <w:r>
        <w:t xml:space="preserve">Other items</w:t>
      </w:r>
    </w:p>
    <w:p>
      <w:pPr>
        <w:pStyle w:val="FirstParagraph"/>
      </w:pPr>
      <w:r>
        <w:t xml:space="preserve">The CIE noted in particular that some documentation of aspects of the ADMB code was</w:t>
      </w:r>
      <w:r>
        <w:t xml:space="preserve"> </w:t>
      </w:r>
      <w:r>
        <w:t xml:space="preserve">incomplete. During the meetings, we began to more properly specify how the selectivity</w:t>
      </w:r>
      <w:r>
        <w:t xml:space="preserve"> </w:t>
      </w:r>
      <w:r>
        <w:t xml:space="preserve">penalties were being calculated and implementated.</w:t>
      </w:r>
      <w:r>
        <w:t xml:space="preserve"> </w:t>
      </w:r>
      <w:r>
        <w:t xml:space="preserve">These were identified and will be suplemented and corrected for the November documentation.</w:t>
      </w:r>
    </w:p>
    <w:bookmarkEnd w:id="89"/>
    <w:bookmarkStart w:id="90" w:name="plans-for-2025-and-beyond"/>
    <w:p>
      <w:pPr>
        <w:pStyle w:val="Heading1"/>
      </w:pPr>
      <w:r>
        <w:t xml:space="preserve">Plans for 2025 and beyond</w:t>
      </w:r>
    </w:p>
    <w:p>
      <w:pPr>
        <w:pStyle w:val="FirstParagraph"/>
      </w:pPr>
      <w:r>
        <w:t xml:space="preserve">For Council consideration in 2025 and beyond, we plan to continue with the 2024 model but with</w:t>
      </w:r>
      <w:r>
        <w:t xml:space="preserve"> </w:t>
      </w:r>
      <w:r>
        <w:t xml:space="preserve">the updated bottom-trawl survey methods (as presented to the CIE see part 1 of this report).</w:t>
      </w:r>
    </w:p>
    <w:p>
      <w:pPr>
        <w:pStyle w:val="BodyText"/>
      </w:pPr>
      <w:r>
        <w:t xml:space="preserve">For</w:t>
      </w:r>
      <w:r>
        <w:t xml:space="preserve"> </w:t>
      </w:r>
      <w:r>
        <w:rPr>
          <w:b/>
          <w:bCs/>
        </w:rPr>
        <w:t xml:space="preserve">2025</w:t>
      </w:r>
      <w:r>
        <w:t xml:space="preserve"> </w:t>
      </w:r>
      <w:r>
        <w:t xml:space="preserve">(this year) we will</w:t>
      </w:r>
    </w:p>
    <w:p>
      <w:pPr>
        <w:numPr>
          <w:ilvl w:val="0"/>
          <w:numId w:val="1002"/>
        </w:numPr>
      </w:pPr>
      <w:r>
        <w:t xml:space="preserve">adopt the updated software from AFSC GAP program to process the bottom-trawl survey data for aggregate biomass indices and age compositions (as presented to the CIE see part 1 of this report).</w:t>
      </w:r>
    </w:p>
    <w:p>
      <w:pPr>
        <w:numPr>
          <w:ilvl w:val="0"/>
          <w:numId w:val="1002"/>
        </w:numPr>
      </w:pPr>
      <w:r>
        <w:t xml:space="preserve">start with FT-NIR age compositions (processed in the same way as with results from traditional age estimation methods).</w:t>
      </w:r>
    </w:p>
    <w:p>
      <w:pPr>
        <w:numPr>
          <w:ilvl w:val="0"/>
          <w:numId w:val="1002"/>
        </w:numPr>
      </w:pPr>
      <w:r>
        <w:t xml:space="preserve">apply the revised estimates of acoustic-trawl survey uncertainty (as presented to the CIE see part 1 of this report;</w:t>
      </w:r>
      <w:r>
        <w:t xml:space="preserve"> </w:t>
      </w:r>
      <w:r>
        <w:t xml:space="preserve">Urmy, Ressler, and De Robertis (2025)</w:t>
      </w:r>
      <w:r>
        <w:t xml:space="preserve">).</w:t>
      </w:r>
    </w:p>
    <w:p>
      <w:pPr>
        <w:numPr>
          <w:ilvl w:val="0"/>
          <w:numId w:val="1002"/>
        </w:numPr>
      </w:pPr>
      <w:r>
        <w:t xml:space="preserve">potentially continue to explore the use of the model converted to RTMB and run in parallel with the ADMB model (to the extent useful/practical).</w:t>
      </w:r>
    </w:p>
    <w:p>
      <w:pPr>
        <w:numPr>
          <w:ilvl w:val="0"/>
          <w:numId w:val="1002"/>
        </w:numPr>
      </w:pPr>
      <w:r>
        <w:t xml:space="preserve">If time allows, we will also explore some sensitivities with respect to the hypotheses on connectivity of the stock in adjacent Russian waters.</w:t>
      </w:r>
    </w:p>
    <w:p>
      <w:pPr>
        <w:pStyle w:val="FirstParagraph"/>
      </w:pPr>
      <w:r>
        <w:t xml:space="preserve">For</w:t>
      </w:r>
      <w:r>
        <w:t xml:space="preserve"> </w:t>
      </w:r>
      <w:r>
        <w:rPr>
          <w:b/>
          <w:bCs/>
        </w:rPr>
        <w:t xml:space="preserve">2026</w:t>
      </w:r>
      <w:r>
        <w:t xml:space="preserve"> </w:t>
      </w:r>
      <w:r>
        <w:t xml:space="preserve">we plan to:</w:t>
      </w:r>
    </w:p>
    <w:p>
      <w:pPr>
        <w:numPr>
          <w:ilvl w:val="0"/>
          <w:numId w:val="1003"/>
        </w:numPr>
      </w:pPr>
      <w:r>
        <w:t xml:space="preserve">Present as a replacement for the ADMB code the RTMB code presented here, or prefereably one of the models being developed in-house (Matt Cheng’s or Grant Adams’)</w:t>
      </w:r>
    </w:p>
    <w:p>
      <w:pPr>
        <w:numPr>
          <w:ilvl w:val="0"/>
          <w:numId w:val="1003"/>
        </w:numPr>
      </w:pPr>
      <w:r>
        <w:t xml:space="preserve">Continue to refine and validate the model structure, including selectivity pattern variability, random-effect factors affecting weight-at-age, and natural mortality rate variability.</w:t>
      </w:r>
    </w:p>
    <w:p>
      <w:pPr>
        <w:numPr>
          <w:ilvl w:val="0"/>
          <w:numId w:val="1003"/>
        </w:numPr>
      </w:pPr>
      <w:r>
        <w:t xml:space="preserve">Move forward with the FT-NIR age-composition data with fleet-specific age-error matrices</w:t>
      </w:r>
    </w:p>
    <w:p>
      <w:pPr>
        <w:numPr>
          <w:ilvl w:val="0"/>
          <w:numId w:val="1003"/>
        </w:numPr>
      </w:pPr>
      <w:r>
        <w:t xml:space="preserve">Further develop advancements of the previous work on integrating survey data from acoustics and bottom-trawl to better quantify variable patterns in the vertical distribution of pollock (</w:t>
      </w:r>
      <w:r>
        <w:t xml:space="preserve">Monnahan et al. (2021)</w:t>
      </w:r>
      <w:r>
        <w:t xml:space="preserve">).</w:t>
      </w:r>
    </w:p>
    <w:p>
      <w:pPr>
        <w:numPr>
          <w:ilvl w:val="0"/>
          <w:numId w:val="1003"/>
        </w:numPr>
      </w:pPr>
      <w:r>
        <w:t xml:space="preserve">Explore the potential for integrating data from Russian surveys (if feasible) and develop a spatially disaggregated model (2 or 3 areas) to better represent the population dynamics and connectivity of the stock across the Bering Sea and adjacent Russian waters.</w:t>
      </w:r>
    </w:p>
    <w:p>
      <w:pPr>
        <w:numPr>
          <w:ilvl w:val="0"/>
          <w:numId w:val="1003"/>
        </w:numPr>
      </w:pPr>
      <w:r>
        <w:t xml:space="preserve">Include some developments on diagnostics for models where the effective degrees of freedom can be estimated and provide improvements on the model selection criteria (e.g., AIC, BIC) for models with random effects (</w:t>
      </w:r>
      <w:r>
        <w:t xml:space="preserve">Zheng, Cadigan, and Thorson (2024)</w:t>
      </w:r>
      <w:r>
        <w:t xml:space="preserve">).</w:t>
      </w:r>
    </w:p>
    <w:bookmarkEnd w:id="90"/>
    <w:bookmarkStart w:id="113" w:name="references"/>
    <w:p>
      <w:pPr>
        <w:pStyle w:val="Heading1"/>
      </w:pPr>
      <w:r>
        <w:t xml:space="preserve">References</w:t>
      </w:r>
    </w:p>
    <w:bookmarkStart w:id="112" w:name="refs"/>
    <w:bookmarkStart w:id="92" w:name="ref-Artyukhin2023"/>
    <w:p>
      <w:pPr>
        <w:pStyle w:val="Bibliography"/>
      </w:pPr>
      <w:r>
        <w:t xml:space="preserve">Artyukhin, Yuri B., Dmitri V. Korobov, and Yuri N. Gluschenko. 2023.</w:t>
      </w:r>
      <w:r>
        <w:t xml:space="preserve"> </w:t>
      </w:r>
      <w:r>
        <w:t xml:space="preserve">“Incidental Mortality of Seabirds in Pollock Trawl Fishery in the Northwestern Bering Sea.”</w:t>
      </w:r>
      <w:r>
        <w:t xml:space="preserve"> </w:t>
      </w:r>
      <w:r>
        <w:rPr>
          <w:i/>
          <w:iCs/>
        </w:rPr>
        <w:t xml:space="preserve">Trudy VNIRO</w:t>
      </w:r>
      <w:r>
        <w:t xml:space="preserve"> </w:t>
      </w:r>
      <w:r>
        <w:t xml:space="preserve">193: 174–89.</w:t>
      </w:r>
      <w:r>
        <w:t xml:space="preserve"> </w:t>
      </w:r>
      <w:hyperlink r:id="rId91">
        <w:r>
          <w:rPr>
            <w:rStyle w:val="Hyperlink"/>
          </w:rPr>
          <w:t xml:space="preserve">https://doi.org/10.36038/2307-3497-2023-193-174-189</w:t>
        </w:r>
      </w:hyperlink>
      <w:r>
        <w:t xml:space="preserve">.</w:t>
      </w:r>
    </w:p>
    <w:bookmarkEnd w:id="92"/>
    <w:bookmarkStart w:id="93" w:name="ref-BulatovVasilev2023"/>
    <w:p>
      <w:pPr>
        <w:pStyle w:val="Bibliography"/>
      </w:pPr>
      <w:r>
        <w:t xml:space="preserve">Bulatov, O. A., and D. A. Vasilev. 2023.</w:t>
      </w:r>
      <w:r>
        <w:t xml:space="preserve"> </w:t>
      </w:r>
      <w:r>
        <w:t xml:space="preserve">“Assessment of Pollock Fisheries: Precautionary Approach or Maximum Sustainable Yield?”</w:t>
      </w:r>
      <w:r>
        <w:t xml:space="preserve"> </w:t>
      </w:r>
      <w:r>
        <w:rPr>
          <w:i/>
          <w:iCs/>
        </w:rPr>
        <w:t xml:space="preserve">Problems of Fisheries</w:t>
      </w:r>
      <w:r>
        <w:t xml:space="preserve"> </w:t>
      </w:r>
      <w:r>
        <w:t xml:space="preserve">24 (3): 7–20.</w:t>
      </w:r>
    </w:p>
    <w:bookmarkEnd w:id="93"/>
    <w:bookmarkStart w:id="94" w:name="ref-Burdin2021"/>
    <w:p>
      <w:pPr>
        <w:pStyle w:val="Bibliography"/>
      </w:pPr>
      <w:r>
        <w:t xml:space="preserve">Burdin, A. M. 2021.</w:t>
      </w:r>
      <w:r>
        <w:t xml:space="preserve"> </w:t>
      </w:r>
      <w:r>
        <w:t xml:space="preserve">“Assessment of Impacts of the Pollock Fishery on Steller Sea Lions and Marine Mammals in the Western Bering Sea.”</w:t>
      </w:r>
      <w:r>
        <w:t xml:space="preserve"> </w:t>
      </w:r>
      <w:r>
        <w:t xml:space="preserve">Kamchatka Branch, Pacific Institute of Geography, Russian Academy of Sciences.</w:t>
      </w:r>
    </w:p>
    <w:bookmarkEnd w:id="94"/>
    <w:bookmarkStart w:id="96" w:name="ref-Datsky2022"/>
    <w:p>
      <w:pPr>
        <w:pStyle w:val="Bibliography"/>
      </w:pPr>
      <w:r>
        <w:t xml:space="preserve">Datsky, Andrey V., Artem Yu. Sheybak, and Nikolay P. Antonov. 2022.</w:t>
      </w:r>
      <w:r>
        <w:t xml:space="preserve"> </w:t>
      </w:r>
      <w:r>
        <w:t xml:space="preserve">“Минтай Берингова Моря: Особенности Распределения и Биологии, Запасы, Промысел. Walleye Pollock of the Bering Sea: Features of Distribution and Biology, Stocks, Fishery.”</w:t>
      </w:r>
      <w:r>
        <w:t xml:space="preserve"> </w:t>
      </w:r>
      <w:r>
        <w:rPr>
          <w:i/>
          <w:iCs/>
        </w:rPr>
        <w:t xml:space="preserve">Труды ВНИРО (Trudy VNIRO)</w:t>
      </w:r>
      <w:r>
        <w:t xml:space="preserve"> </w:t>
      </w:r>
      <w:r>
        <w:t xml:space="preserve">189: 73–94.</w:t>
      </w:r>
      <w:r>
        <w:t xml:space="preserve"> </w:t>
      </w:r>
      <w:hyperlink r:id="rId95">
        <w:r>
          <w:rPr>
            <w:rStyle w:val="Hyperlink"/>
          </w:rPr>
          <w:t xml:space="preserve">https://doi.org/10.36038/2307-3497-2022-189-73-94</w:t>
        </w:r>
      </w:hyperlink>
      <w:r>
        <w:t xml:space="preserve">.</w:t>
      </w:r>
    </w:p>
    <w:bookmarkEnd w:id="96"/>
    <w:bookmarkStart w:id="97" w:name="ref-ianelli1998"/>
    <w:p>
      <w:pPr>
        <w:pStyle w:val="Bibliography"/>
      </w:pPr>
      <w:r>
        <w:t xml:space="preserve">Ianelli, J N, and D A Fournier. 1998.</w:t>
      </w:r>
      <w:r>
        <w:t xml:space="preserve"> </w:t>
      </w:r>
      <w:r>
        <w:t xml:space="preserve">“Alternative Age-Structured Analyses of the NRC Simulated Stock Assessment Data.”</w:t>
      </w:r>
      <w:r>
        <w:t xml:space="preserve"> </w:t>
      </w:r>
      <w:r>
        <w:t xml:space="preserve">NOAA Tech. Memo. NMFS-F/SPO-30. NOAA.</w:t>
      </w:r>
    </w:p>
    <w:bookmarkEnd w:id="97"/>
    <w:bookmarkStart w:id="99" w:name="ref-ianelli2023a"/>
    <w:p>
      <w:pPr>
        <w:pStyle w:val="Bibliography"/>
      </w:pPr>
      <w:r>
        <w:t xml:space="preserve">Ianelli, J., T. Honkalehto, Wasserman S., N. Lauffenburger, McGilliard C., and E. Siddon. 2023.</w:t>
      </w:r>
      <w:r>
        <w:t xml:space="preserve"> </w:t>
      </w:r>
      <w:r>
        <w:t xml:space="preserve">“Chapter 1 : Assessment of the Walleye Pollock Stock in the Eastern</w:t>
      </w:r>
      <w:r>
        <w:t xml:space="preserve"> </w:t>
      </w:r>
      <w:r>
        <w:t xml:space="preserve">Bering Sea</w:t>
      </w:r>
      <w:r>
        <w:t xml:space="preserve">.”</w:t>
      </w:r>
      <w:r>
        <w:t xml:space="preserve"> </w:t>
      </w:r>
      <w:hyperlink r:id="rId98">
        <w:r>
          <w:rPr>
            <w:rStyle w:val="Hyperlink"/>
          </w:rPr>
          <w:t xml:space="preserve">https://apps-afsc.fisheries.noaa.gov/Plan_Team/2023/EBSPollock.pdf</w:t>
        </w:r>
      </w:hyperlink>
      <w:r>
        <w:t xml:space="preserve">.</w:t>
      </w:r>
    </w:p>
    <w:bookmarkEnd w:id="99"/>
    <w:bookmarkStart w:id="100" w:name="ref-SharovJapp2023"/>
    <w:p>
      <w:pPr>
        <w:pStyle w:val="Bibliography"/>
      </w:pPr>
      <w:r>
        <w:t xml:space="preserve">Japp, DW, and A Sharov. 2023.</w:t>
      </w:r>
      <w:r>
        <w:t xml:space="preserve"> </w:t>
      </w:r>
      <w:r>
        <w:t xml:space="preserve">“Western Bering Sea Pollock — Surveillance Audit Report (SA1).”</w:t>
      </w:r>
      <w:r>
        <w:t xml:space="preserve"> </w:t>
      </w:r>
      <w:r>
        <w:t xml:space="preserve">UCSL United Certification Systems Limited.</w:t>
      </w:r>
    </w:p>
    <w:bookmarkEnd w:id="100"/>
    <w:bookmarkStart w:id="101" w:name="ref-SharovJapp2024"/>
    <w:p>
      <w:pPr>
        <w:pStyle w:val="Bibliography"/>
      </w:pPr>
      <w:r>
        <w:t xml:space="preserve">———. 2024.</w:t>
      </w:r>
      <w:r>
        <w:t xml:space="preserve"> </w:t>
      </w:r>
      <w:r>
        <w:t xml:space="preserve">“Western Bering Sea Pollock — 2nd Surveillance Audit Report (SA2).”</w:t>
      </w:r>
      <w:r>
        <w:t xml:space="preserve"> </w:t>
      </w:r>
      <w:r>
        <w:t xml:space="preserve">UCSL United Certification Systems Limited.</w:t>
      </w:r>
    </w:p>
    <w:bookmarkEnd w:id="101"/>
    <w:bookmarkStart w:id="103" w:name="ref-levine2024"/>
    <w:p>
      <w:pPr>
        <w:pStyle w:val="Bibliography"/>
      </w:pPr>
      <w:r>
        <w:t xml:space="preserve">Levine, Robert M, Alex De Robertis, Christopher Bassett, Mike Levine, and J. N Ianelli. 2024.</w:t>
      </w:r>
      <w:r>
        <w:t xml:space="preserve"> </w:t>
      </w:r>
      <w:r>
        <w:t xml:space="preserve">“</w:t>
      </w:r>
      <w:r>
        <w:t xml:space="preserve">Acoustic observations of walleye pollock (Gadus chalcogrammus) migration across the US-Russia boundary in the northwest Bering Sea</w:t>
      </w:r>
      <w:r>
        <w:t xml:space="preserve">.”</w:t>
      </w:r>
      <w:r>
        <w:t xml:space="preserve"> </w:t>
      </w:r>
      <w:r>
        <w:rPr>
          <w:i/>
          <w:iCs/>
        </w:rPr>
        <w:t xml:space="preserve">ICES Journal of Marine Science</w:t>
      </w:r>
      <w:r>
        <w:t xml:space="preserve"> </w:t>
      </w:r>
      <w:r>
        <w:t xml:space="preserve">81 (6): 1111–25.</w:t>
      </w:r>
      <w:r>
        <w:t xml:space="preserve"> </w:t>
      </w:r>
      <w:hyperlink r:id="rId102">
        <w:r>
          <w:rPr>
            <w:rStyle w:val="Hyperlink"/>
          </w:rPr>
          <w:t xml:space="preserve">https://doi.org/10.1093/icesjms/fsae071</w:t>
        </w:r>
      </w:hyperlink>
      <w:r>
        <w:t xml:space="preserve">.</w:t>
      </w:r>
    </w:p>
    <w:bookmarkEnd w:id="103"/>
    <w:bookmarkStart w:id="105" w:name="ref-monnahan2021"/>
    <w:p>
      <w:pPr>
        <w:pStyle w:val="Bibliography"/>
      </w:pPr>
      <w:r>
        <w:t xml:space="preserve">Monnahan, C., J. T. Thorson, S. Kotwicki, N. Lauffenburger, J. N. Ianelli, and A. E. Punt. 2021.</w:t>
      </w:r>
      <w:r>
        <w:t xml:space="preserve"> </w:t>
      </w:r>
      <w:r>
        <w:t xml:space="preserve">“Incorporating Vertical Distribution in Index Standardization Accounts for Spatiotemporal Availability to Acoustic and Bottom Trawl Gear for Semi-Pelagic Species.”</w:t>
      </w:r>
      <w:r>
        <w:t xml:space="preserve"> </w:t>
      </w:r>
      <w:r>
        <w:t xml:space="preserve">Edited by Olav Rune Godo.</w:t>
      </w:r>
      <w:r>
        <w:t xml:space="preserve"> </w:t>
      </w:r>
      <w:r>
        <w:rPr>
          <w:i/>
          <w:iCs/>
        </w:rPr>
        <w:t xml:space="preserve">ICES Journal of Marine Science</w:t>
      </w:r>
      <w:r>
        <w:t xml:space="preserve">, May.</w:t>
      </w:r>
      <w:r>
        <w:t xml:space="preserve"> </w:t>
      </w:r>
      <w:hyperlink r:id="rId104">
        <w:r>
          <w:rPr>
            <w:rStyle w:val="Hyperlink"/>
          </w:rPr>
          <w:t xml:space="preserve">https://doi.org/10.1093/icesjms/fsab085</w:t>
        </w:r>
      </w:hyperlink>
      <w:r>
        <w:t xml:space="preserve">.</w:t>
      </w:r>
    </w:p>
    <w:bookmarkEnd w:id="105"/>
    <w:bookmarkStart w:id="107" w:name="ref-oleary2022"/>
    <w:p>
      <w:pPr>
        <w:pStyle w:val="Bibliography"/>
      </w:pPr>
      <w:r>
        <w:t xml:space="preserve">O’Leary, Cecilia A, Lukas B DeFilippo, James T Thorson, Stan Kotwicki, Gerald R Hoff, Vladimir V Kulik, James N Ianelli, and André E Punt. 2022.</w:t>
      </w:r>
      <w:r>
        <w:t xml:space="preserve"> </w:t>
      </w:r>
      <w:r>
        <w:t xml:space="preserve">“Understanding Transboundary Stocks</w:t>
      </w:r>
      <w:r>
        <w:t xml:space="preserve">’</w:t>
      </w:r>
      <w:r>
        <w:t xml:space="preserve"> </w:t>
      </w:r>
      <w:r>
        <w:t xml:space="preserve">Availability by Combining Multiple Fisheries-Independent Surveys and Oceanographic Conditions in Spatiotemporal Models.”</w:t>
      </w:r>
      <w:r>
        <w:t xml:space="preserve"> </w:t>
      </w:r>
      <w:r>
        <w:rPr>
          <w:i/>
          <w:iCs/>
        </w:rPr>
        <w:t xml:space="preserve">ICES Journal of Marine Science</w:t>
      </w:r>
      <w:r>
        <w:t xml:space="preserve"> </w:t>
      </w:r>
      <w:r>
        <w:t xml:space="preserve">79 (4): 1063–74.</w:t>
      </w:r>
      <w:r>
        <w:t xml:space="preserve"> </w:t>
      </w:r>
      <w:hyperlink r:id="rId106">
        <w:r>
          <w:rPr>
            <w:rStyle w:val="Hyperlink"/>
          </w:rPr>
          <w:t xml:space="preserve">https://doi.org/10.1093/icesjms/fsac046</w:t>
        </w:r>
      </w:hyperlink>
      <w:r>
        <w:t xml:space="preserve">.</w:t>
      </w:r>
    </w:p>
    <w:bookmarkEnd w:id="107"/>
    <w:bookmarkStart w:id="108" w:name="ref-urmy2025"/>
    <w:p>
      <w:pPr>
        <w:pStyle w:val="Bibliography"/>
      </w:pPr>
      <w:r>
        <w:t xml:space="preserve">Urmy, Samuel S., Patrick Ressler, and Alex De Robertis. 2025.</w:t>
      </w:r>
      <w:r>
        <w:t xml:space="preserve"> </w:t>
      </w:r>
      <w:r>
        <w:t xml:space="preserve">“Estimating Uncertainty from Multiple Sources in Acoustic-Trawl Surveys.”</w:t>
      </w:r>
      <w:r>
        <w:t xml:space="preserve"> </w:t>
      </w:r>
      <w:r>
        <w:rPr>
          <w:i/>
          <w:iCs/>
        </w:rPr>
        <w:t xml:space="preserve">Unpublished Manuscript</w:t>
      </w:r>
      <w:r>
        <w:t xml:space="preserve">, May.</w:t>
      </w:r>
    </w:p>
    <w:bookmarkEnd w:id="108"/>
    <w:bookmarkStart w:id="109" w:name="ref-vasilyev2005"/>
    <w:p>
      <w:pPr>
        <w:pStyle w:val="Bibliography"/>
      </w:pPr>
      <w:r>
        <w:t xml:space="preserve">Vasilyev, D. 2005.</w:t>
      </w:r>
      <w:r>
        <w:t xml:space="preserve"> </w:t>
      </w:r>
      <w:r>
        <w:rPr>
          <w:i/>
          <w:iCs/>
        </w:rPr>
        <w:t xml:space="preserve">Key Aspects of Robust Fish Stock Assessment</w:t>
      </w:r>
      <w:r>
        <w:t xml:space="preserve">. Moscow: VNIRO Publishing.</w:t>
      </w:r>
    </w:p>
    <w:bookmarkEnd w:id="109"/>
    <w:bookmarkStart w:id="111" w:name="ref-zheng2024"/>
    <w:p>
      <w:pPr>
        <w:pStyle w:val="Bibliography"/>
      </w:pPr>
      <w:r>
        <w:t xml:space="preserve">Zheng, Nan, Noel Cadigan, and James T. Thorson. 2024.</w:t>
      </w:r>
      <w:r>
        <w:t xml:space="preserve"> </w:t>
      </w:r>
      <w:r>
        <w:t xml:space="preserve">“A Note on Numerical Evaluation of Conditional Akaike Information for Nonlinear Mixed-Effects Models.”</w:t>
      </w:r>
      <w:r>
        <w:t xml:space="preserve"> </w:t>
      </w:r>
      <w:hyperlink r:id="rId110">
        <w:r>
          <w:rPr>
            <w:rStyle w:val="Hyperlink"/>
          </w:rPr>
          <w:t xml:space="preserve">https://arxiv.org/abs/2411.14185</w:t>
        </w:r>
      </w:hyperlink>
      <w:r>
        <w:t xml:space="preserve">.</w:t>
      </w:r>
    </w:p>
    <w:bookmarkEnd w:id="111"/>
    <w:bookmarkEnd w:id="112"/>
    <w:bookmarkEnd w:id="113"/>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 w:numId="1002">
    <w:abstractNumId w:val="991"/>
  </w:num>
  <w:num w:numId="1003">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4" Target="media/rId34.png" /><Relationship Type="http://schemas.openxmlformats.org/officeDocument/2006/relationships/image" Id="rId27" Target="media/rId27.png" /><Relationship Type="http://schemas.openxmlformats.org/officeDocument/2006/relationships/image" Id="rId38" Target="media/rId38.png" /><Relationship Type="http://schemas.openxmlformats.org/officeDocument/2006/relationships/image" Id="rId43" Target="media/rId43.png" /><Relationship Type="http://schemas.openxmlformats.org/officeDocument/2006/relationships/image" Id="rId47" Target="media/rId47.png" /><Relationship Type="http://schemas.openxmlformats.org/officeDocument/2006/relationships/image" Id="rId51" Target="media/rId51.png" /><Relationship Type="http://schemas.openxmlformats.org/officeDocument/2006/relationships/image" Id="rId59" Target="media/rId59.png" /><Relationship Type="http://schemas.openxmlformats.org/officeDocument/2006/relationships/image" Id="rId69" Target="media/rId69.png" /><Relationship Type="http://schemas.openxmlformats.org/officeDocument/2006/relationships/image" Id="rId73" Target="media/rId73.png" /><Relationship Type="http://schemas.openxmlformats.org/officeDocument/2006/relationships/image" Id="rId79" Target="media/rId79.png" /><Relationship Type="http://schemas.openxmlformats.org/officeDocument/2006/relationships/image" Id="rId83" Target="media/rId83.png" /><Relationship Type="http://schemas.openxmlformats.org/officeDocument/2006/relationships/image" Id="rId55" Target="media/rId55.png" /><Relationship Type="http://schemas.openxmlformats.org/officeDocument/2006/relationships/hyperlink" Id="rId98" Target="https://apps-afsc.fisheries.noaa.gov/Plan_Team/2023/EBSPollock.pdf" TargetMode="External" /><Relationship Type="http://schemas.openxmlformats.org/officeDocument/2006/relationships/hyperlink" Id="rId110" Target="https://arxiv.org/abs/2411.14185" TargetMode="External" /><Relationship Type="http://schemas.openxmlformats.org/officeDocument/2006/relationships/hyperlink" Id="rId104" Target="https://doi.org/10.1093/icesjms/fsab085" TargetMode="External" /><Relationship Type="http://schemas.openxmlformats.org/officeDocument/2006/relationships/hyperlink" Id="rId106" Target="https://doi.org/10.1093/icesjms/fsac046" TargetMode="External" /><Relationship Type="http://schemas.openxmlformats.org/officeDocument/2006/relationships/hyperlink" Id="rId102" Target="https://doi.org/10.1093/icesjms/fsae071" TargetMode="External" /><Relationship Type="http://schemas.openxmlformats.org/officeDocument/2006/relationships/hyperlink" Id="rId95" Target="https://doi.org/10.36038/2307-3497-2022-189-73-94" TargetMode="External" /><Relationship Type="http://schemas.openxmlformats.org/officeDocument/2006/relationships/hyperlink" Id="rId91" Target="https://doi.org/10.36038/2307-3497-2023-193-174-189" TargetMode="External" /><Relationship Type="http://schemas.openxmlformats.org/officeDocument/2006/relationships/hyperlink" Id="rId31" Target="https://github.com/noaa-afsc/EBS_pollock" TargetMode="External" /><Relationship Type="http://schemas.openxmlformats.org/officeDocument/2006/relationships/hyperlink" Id="rId20" Target="https://noaa-afsc.github.io/EBS_pollock/doc/CIE.html" TargetMode="External" /><Relationship Type="http://schemas.openxmlformats.org/officeDocument/2006/relationships/hyperlink" Id="rId22" Target="https://www.st.nmfs.noaa.gov/Assets/Quality-Assurance/documents/peer-review-reports/2025/2025_08%20Cieri%20EBS%20Pollock%20Assessment%20Review.pdf" TargetMode="External" /><Relationship Type="http://schemas.openxmlformats.org/officeDocument/2006/relationships/hyperlink" Id="rId23" Target="https://www.st.nmfs.noaa.gov/Assets/Quality-Assurance/documents/peer-review-reports/2025/2025_08%20Jiao%20EBS%20Pollock%20Assessment%20Review.pdf" TargetMode="External" /><Relationship Type="http://schemas.openxmlformats.org/officeDocument/2006/relationships/hyperlink" Id="rId24" Target="https://www.st.nmfs.noaa.gov/Assets/Quality-Assurance/documents/peer-review-reports/2025/2025_08%20Nielsen%20EBS%20Pollock%20Assessment%20Review.pdf" TargetMode="External" /></Relationships>
</file>

<file path=word/_rels/footnotes.xml.rels><?xml version="1.0" encoding="UTF-8"?><Relationships xmlns="http://schemas.openxmlformats.org/package/2006/relationships"><Relationship Type="http://schemas.openxmlformats.org/officeDocument/2006/relationships/hyperlink" Id="rId98" Target="https://apps-afsc.fisheries.noaa.gov/Plan_Team/2023/EBSPollock.pdf" TargetMode="External" /><Relationship Type="http://schemas.openxmlformats.org/officeDocument/2006/relationships/hyperlink" Id="rId110" Target="https://arxiv.org/abs/2411.14185" TargetMode="External" /><Relationship Type="http://schemas.openxmlformats.org/officeDocument/2006/relationships/hyperlink" Id="rId104" Target="https://doi.org/10.1093/icesjms/fsab085" TargetMode="External" /><Relationship Type="http://schemas.openxmlformats.org/officeDocument/2006/relationships/hyperlink" Id="rId106" Target="https://doi.org/10.1093/icesjms/fsac046" TargetMode="External" /><Relationship Type="http://schemas.openxmlformats.org/officeDocument/2006/relationships/hyperlink" Id="rId102" Target="https://doi.org/10.1093/icesjms/fsae071" TargetMode="External" /><Relationship Type="http://schemas.openxmlformats.org/officeDocument/2006/relationships/hyperlink" Id="rId95" Target="https://doi.org/10.36038/2307-3497-2022-189-73-94" TargetMode="External" /><Relationship Type="http://schemas.openxmlformats.org/officeDocument/2006/relationships/hyperlink" Id="rId91" Target="https://doi.org/10.36038/2307-3497-2023-193-174-189" TargetMode="External" /><Relationship Type="http://schemas.openxmlformats.org/officeDocument/2006/relationships/hyperlink" Id="rId31" Target="https://github.com/noaa-afsc/EBS_pollock" TargetMode="External" /><Relationship Type="http://schemas.openxmlformats.org/officeDocument/2006/relationships/hyperlink" Id="rId20" Target="https://noaa-afsc.github.io/EBS_pollock/doc/CIE.html" TargetMode="External" /><Relationship Type="http://schemas.openxmlformats.org/officeDocument/2006/relationships/hyperlink" Id="rId22" Target="https://www.st.nmfs.noaa.gov/Assets/Quality-Assurance/documents/peer-review-reports/2025/2025_08%20Cieri%20EBS%20Pollock%20Assessment%20Review.pdf" TargetMode="External" /><Relationship Type="http://schemas.openxmlformats.org/officeDocument/2006/relationships/hyperlink" Id="rId23" Target="https://www.st.nmfs.noaa.gov/Assets/Quality-Assurance/documents/peer-review-reports/2025/2025_08%20Jiao%20EBS%20Pollock%20Assessment%20Review.pdf" TargetMode="External" /><Relationship Type="http://schemas.openxmlformats.org/officeDocument/2006/relationships/hyperlink" Id="rId24" Target="https://www.st.nmfs.noaa.gov/Assets/Quality-Assurance/documents/peer-review-reports/2025/2025_08%20Nielsen%20EBS%20Pollock%20Assessment%20Review.pdf"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Eastern Bering Sea walleye pollock stock assessment research (part 2)</dc:title>
  <dc:creator>Jim Ianelli, Carey McGilliard, Sophia Wassermann</dc:creator>
  <cp:keywords/>
  <dcterms:created xsi:type="dcterms:W3CDTF">2025-09-25T20:57:46Z</dcterms:created>
  <dcterms:modified xsi:type="dcterms:W3CDTF">2025-09-25T20:57:46Z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references.bib</vt:lpwstr>
  </property>
  <property fmtid="{D5CDD505-2E9C-101B-9397-08002B2CF9AE}" pid="5" name="by-author">
    <vt:lpwstr/>
  </property>
  <property fmtid="{D5CDD505-2E9C-101B-9397-08002B2CF9AE}" pid="6" name="date">
    <vt:lpwstr>2025-09-25 13:57</vt:lpwstr>
  </property>
  <property fmtid="{D5CDD505-2E9C-101B-9397-08002B2CF9AE}" pid="7" name="date-format">
    <vt:lpwstr>YYYY-MM-DD HH:mm</vt:lpwstr>
  </property>
  <property fmtid="{D5CDD505-2E9C-101B-9397-08002B2CF9AE}" pid="8" name="editor">
    <vt:lpwstr/>
  </property>
  <property fmtid="{D5CDD505-2E9C-101B-9397-08002B2CF9AE}" pid="9" name="editor_options">
    <vt:lpwstr/>
  </property>
  <property fmtid="{D5CDD505-2E9C-101B-9397-08002B2CF9AE}" pid="10" name="env">
    <vt:lpwstr/>
  </property>
  <property fmtid="{D5CDD505-2E9C-101B-9397-08002B2CF9AE}" pid="11" name="header-includes">
    <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reference-docx">
    <vt:lpwstr>template.docx</vt:lpwstr>
  </property>
  <property fmtid="{D5CDD505-2E9C-101B-9397-08002B2CF9AE}" pid="17" name="subtitle">
    <vt:lpwstr>September 2025, Plan Team Draft</vt:lpwstr>
  </property>
  <property fmtid="{D5CDD505-2E9C-101B-9397-08002B2CF9AE}" pid="18" name="toc-title">
    <vt:lpwstr>Table of contents</vt:lpwstr>
  </property>
</Properties>
</file>